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F15D8" w14:textId="6C5B6F2C" w:rsidR="00705A56" w:rsidRPr="00705A56" w:rsidRDefault="00705A56" w:rsidP="00705A56">
      <w:pPr>
        <w:tabs>
          <w:tab w:val="center" w:pos="4536"/>
          <w:tab w:val="right" w:pos="8280"/>
          <w:tab w:val="right" w:pos="9639"/>
        </w:tabs>
        <w:ind w:right="2"/>
        <w:rPr>
          <w:rFonts w:ascii="Arial" w:hAnsi="Arial" w:cs="Arial"/>
          <w:b/>
          <w:bCs/>
          <w:sz w:val="22"/>
        </w:rPr>
      </w:pPr>
      <w:r w:rsidRPr="00705A56">
        <w:rPr>
          <w:rFonts w:ascii="Arial" w:hAnsi="Arial" w:cs="Arial"/>
          <w:b/>
          <w:bCs/>
          <w:sz w:val="22"/>
        </w:rPr>
        <w:t>3GPP TSG RAN WG1 Meeting #93</w:t>
      </w:r>
      <w:r w:rsidRPr="00705A56">
        <w:rPr>
          <w:rFonts w:ascii="Arial" w:hAnsi="Arial" w:cs="Arial"/>
          <w:b/>
          <w:bCs/>
          <w:sz w:val="22"/>
        </w:rPr>
        <w:tab/>
      </w:r>
      <w:r>
        <w:rPr>
          <w:rFonts w:ascii="Arial" w:hAnsi="Arial" w:cs="Arial"/>
          <w:b/>
          <w:bCs/>
          <w:sz w:val="22"/>
        </w:rPr>
        <w:tab/>
      </w:r>
      <w:r w:rsidRPr="00705A56">
        <w:rPr>
          <w:rFonts w:ascii="Arial" w:hAnsi="Arial" w:cs="Arial"/>
          <w:b/>
          <w:bCs/>
          <w:sz w:val="22"/>
        </w:rPr>
        <w:tab/>
        <w:t>R1-</w:t>
      </w:r>
      <w:r w:rsidR="003D7DE0" w:rsidRPr="003D7DE0">
        <w:rPr>
          <w:rFonts w:ascii="Arial" w:hAnsi="Arial" w:cs="Arial"/>
          <w:b/>
          <w:bCs/>
          <w:sz w:val="22"/>
        </w:rPr>
        <w:t>1807004</w:t>
      </w:r>
    </w:p>
    <w:p w14:paraId="0ED5EA82" w14:textId="77777777" w:rsidR="00705A56" w:rsidRPr="00705A56" w:rsidRDefault="00705A56" w:rsidP="00705A56">
      <w:pPr>
        <w:tabs>
          <w:tab w:val="center" w:pos="4536"/>
          <w:tab w:val="right" w:pos="9072"/>
        </w:tabs>
        <w:rPr>
          <w:rFonts w:ascii="Arial" w:eastAsia="MS Mincho" w:hAnsi="Arial" w:cs="Arial"/>
          <w:b/>
          <w:bCs/>
          <w:sz w:val="22"/>
          <w:lang w:eastAsia="ja-JP"/>
        </w:rPr>
      </w:pPr>
      <w:r w:rsidRPr="00705A56">
        <w:rPr>
          <w:rFonts w:ascii="Arial" w:eastAsia="MS Mincho" w:hAnsi="Arial" w:cs="Arial"/>
          <w:b/>
          <w:bCs/>
          <w:sz w:val="22"/>
          <w:lang w:eastAsia="ja-JP"/>
        </w:rPr>
        <w:t>Busan, Korea, May 21</w:t>
      </w:r>
      <w:r w:rsidRPr="00705A56">
        <w:rPr>
          <w:rFonts w:ascii="Arial" w:eastAsia="MS Mincho" w:hAnsi="Arial" w:cs="Arial"/>
          <w:b/>
          <w:bCs/>
          <w:sz w:val="22"/>
          <w:vertAlign w:val="superscript"/>
          <w:lang w:eastAsia="ja-JP"/>
        </w:rPr>
        <w:t>st</w:t>
      </w:r>
      <w:r w:rsidRPr="00705A56">
        <w:rPr>
          <w:rFonts w:ascii="Arial" w:eastAsia="MS Mincho" w:hAnsi="Arial" w:cs="Arial"/>
          <w:b/>
          <w:bCs/>
          <w:sz w:val="22"/>
          <w:lang w:eastAsia="ja-JP"/>
        </w:rPr>
        <w:t xml:space="preserve"> – 25</w:t>
      </w:r>
      <w:r w:rsidRPr="00705A56">
        <w:rPr>
          <w:rFonts w:ascii="Arial" w:eastAsia="MS Mincho" w:hAnsi="Arial" w:cs="Arial"/>
          <w:b/>
          <w:bCs/>
          <w:sz w:val="22"/>
          <w:vertAlign w:val="superscript"/>
          <w:lang w:eastAsia="ja-JP"/>
        </w:rPr>
        <w:t>th</w:t>
      </w:r>
      <w:r w:rsidRPr="00705A56">
        <w:rPr>
          <w:rFonts w:ascii="Arial" w:eastAsia="MS Mincho" w:hAnsi="Arial" w:cs="Arial"/>
          <w:b/>
          <w:bCs/>
          <w:sz w:val="22"/>
          <w:lang w:eastAsia="ja-JP"/>
        </w:rPr>
        <w:t xml:space="preserve">, 2018 </w:t>
      </w:r>
    </w:p>
    <w:p w14:paraId="49C683B7" w14:textId="77777777" w:rsidR="00136C56" w:rsidRPr="00136C56" w:rsidRDefault="00136C56" w:rsidP="00136C56">
      <w:pPr>
        <w:pStyle w:val="CRCoverPage"/>
        <w:outlineLvl w:val="0"/>
        <w:rPr>
          <w:rFonts w:ascii="Times New Roman" w:hAnsi="Times New Roman"/>
          <w:b/>
          <w:sz w:val="24"/>
          <w:lang w:val="en-US"/>
        </w:rPr>
      </w:pPr>
      <w:bookmarkStart w:id="0" w:name="_GoBack"/>
      <w:bookmarkEnd w:id="0"/>
    </w:p>
    <w:p w14:paraId="5FB7E722" w14:textId="359836FB"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7.1.</w:t>
      </w:r>
      <w:r w:rsidR="004D146D">
        <w:rPr>
          <w:sz w:val="22"/>
          <w:szCs w:val="22"/>
        </w:rPr>
        <w:t>5</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2B8219AB" w14:textId="5043F593" w:rsidR="004D146D" w:rsidRDefault="003D3C45" w:rsidP="00311702">
      <w:pPr>
        <w:pStyle w:val="3GPPHeader"/>
        <w:rPr>
          <w:sz w:val="22"/>
          <w:szCs w:val="22"/>
        </w:rPr>
      </w:pPr>
      <w:r w:rsidRPr="00315C6E">
        <w:rPr>
          <w:sz w:val="22"/>
          <w:szCs w:val="22"/>
        </w:rPr>
        <w:t>Title:</w:t>
      </w:r>
      <w:r w:rsidR="00E90E49" w:rsidRPr="00315C6E">
        <w:rPr>
          <w:sz w:val="22"/>
          <w:szCs w:val="22"/>
        </w:rPr>
        <w:tab/>
      </w:r>
      <w:r w:rsidR="004D146D">
        <w:rPr>
          <w:sz w:val="22"/>
          <w:szCs w:val="22"/>
        </w:rPr>
        <w:t>Single Tx Switch</w:t>
      </w:r>
      <w:r w:rsidR="00A13036">
        <w:rPr>
          <w:sz w:val="22"/>
          <w:szCs w:val="22"/>
        </w:rPr>
        <w:t>ed</w:t>
      </w:r>
      <w:r w:rsidR="004D146D">
        <w:rPr>
          <w:sz w:val="22"/>
          <w:szCs w:val="22"/>
        </w:rPr>
        <w:t xml:space="preserve"> UL Support for EN-DC in LTE TDD Band</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6614B372" w:rsidR="00342E02" w:rsidRPr="00342E02" w:rsidRDefault="00E90E49" w:rsidP="00342E02">
      <w:pPr>
        <w:pStyle w:val="Heading1"/>
      </w:pPr>
      <w:r w:rsidRPr="00315C6E">
        <w:t>Introduction</w:t>
      </w:r>
    </w:p>
    <w:p w14:paraId="5E967557" w14:textId="6B91E062" w:rsidR="00403DBB" w:rsidRDefault="00403DBB" w:rsidP="00ED4362">
      <w:pPr>
        <w:jc w:val="both"/>
        <w:rPr>
          <w:rFonts w:eastAsia="MS Mincho"/>
          <w:sz w:val="22"/>
          <w:szCs w:val="22"/>
          <w:lang w:eastAsia="ja-JP"/>
        </w:rPr>
      </w:pPr>
      <w:r>
        <w:rPr>
          <w:rFonts w:eastAsia="MS Mincho"/>
          <w:sz w:val="22"/>
          <w:szCs w:val="22"/>
          <w:lang w:eastAsia="ja-JP"/>
        </w:rPr>
        <w:t xml:space="preserve">In RAN4 #86bis meeting [8], it was agreed to allow Single Tx Switched UL operation for EN-DC in band 41. Band 41 is a TDD band </w:t>
      </w:r>
      <w:r w:rsidR="00E403C9">
        <w:rPr>
          <w:rFonts w:eastAsia="MS Mincho"/>
          <w:sz w:val="22"/>
          <w:szCs w:val="22"/>
          <w:lang w:eastAsia="ja-JP"/>
        </w:rPr>
        <w:t>for</w:t>
      </w:r>
      <w:r>
        <w:rPr>
          <w:rFonts w:eastAsia="MS Mincho"/>
          <w:sz w:val="22"/>
          <w:szCs w:val="22"/>
          <w:lang w:eastAsia="ja-JP"/>
        </w:rPr>
        <w:t xml:space="preserve"> which Single Tx Switched UL operation has not been discussed in RAN1. This contribution focus</w:t>
      </w:r>
      <w:r w:rsidR="00DD3EE3">
        <w:rPr>
          <w:rFonts w:eastAsia="MS Mincho"/>
          <w:sz w:val="22"/>
          <w:szCs w:val="22"/>
          <w:lang w:eastAsia="ja-JP"/>
        </w:rPr>
        <w:t xml:space="preserve">es </w:t>
      </w:r>
      <w:r>
        <w:rPr>
          <w:rFonts w:eastAsia="MS Mincho"/>
          <w:sz w:val="22"/>
          <w:szCs w:val="22"/>
          <w:lang w:eastAsia="ja-JP"/>
        </w:rPr>
        <w:t>on the solution</w:t>
      </w:r>
      <w:r w:rsidR="00570BE9">
        <w:rPr>
          <w:rFonts w:eastAsia="MS Mincho"/>
          <w:sz w:val="22"/>
          <w:szCs w:val="22"/>
          <w:lang w:eastAsia="ja-JP"/>
        </w:rPr>
        <w:t>s</w:t>
      </w:r>
      <w:r>
        <w:rPr>
          <w:rFonts w:eastAsia="MS Mincho"/>
          <w:sz w:val="22"/>
          <w:szCs w:val="22"/>
          <w:lang w:eastAsia="ja-JP"/>
        </w:rPr>
        <w:t xml:space="preserve"> that allow semi-static </w:t>
      </w:r>
      <w:r w:rsidR="00683FC1">
        <w:rPr>
          <w:rFonts w:eastAsia="MS Mincho"/>
          <w:sz w:val="22"/>
          <w:szCs w:val="22"/>
          <w:lang w:eastAsia="ja-JP"/>
        </w:rPr>
        <w:t xml:space="preserve">TDM </w:t>
      </w:r>
      <w:r>
        <w:rPr>
          <w:rFonts w:eastAsia="MS Mincho"/>
          <w:sz w:val="22"/>
          <w:szCs w:val="22"/>
          <w:lang w:eastAsia="ja-JP"/>
        </w:rPr>
        <w:t xml:space="preserve">UL resource partition between LTE and NR in LTE TDD band to allow Single Tx Switched UL operation. </w:t>
      </w:r>
    </w:p>
    <w:p w14:paraId="6EC5BA91" w14:textId="77777777" w:rsidR="00403DBB" w:rsidRDefault="00403DBB" w:rsidP="00ED4362">
      <w:pPr>
        <w:jc w:val="both"/>
        <w:rPr>
          <w:rFonts w:eastAsia="MS Mincho"/>
          <w:sz w:val="22"/>
          <w:szCs w:val="22"/>
          <w:lang w:eastAsia="ja-JP"/>
        </w:rPr>
      </w:pPr>
    </w:p>
    <w:p w14:paraId="418B08AB" w14:textId="2AFCF69C" w:rsidR="00ED4362" w:rsidRPr="00DF54FD" w:rsidRDefault="00ED4362" w:rsidP="00ED4362">
      <w:pPr>
        <w:jc w:val="both"/>
        <w:rPr>
          <w:sz w:val="22"/>
          <w:szCs w:val="22"/>
        </w:rPr>
      </w:pPr>
      <w:r w:rsidRPr="00DF54FD">
        <w:rPr>
          <w:sz w:val="22"/>
          <w:szCs w:val="22"/>
        </w:rPr>
        <w:t xml:space="preserve">A key enabler for early commercialization of 5G NR is the non-stand-alone (NSA) </w:t>
      </w:r>
      <w:r w:rsidR="00820834">
        <w:rPr>
          <w:sz w:val="22"/>
          <w:szCs w:val="22"/>
        </w:rPr>
        <w:t>operation</w:t>
      </w:r>
      <w:r w:rsidRPr="00DF54FD">
        <w:rPr>
          <w:sz w:val="22"/>
          <w:szCs w:val="22"/>
        </w:rPr>
        <w:t>, which is expected to be adopted in many of the initial deployment world-wide. The NSA mode, which is based on LTE-NR dual connectivity</w:t>
      </w:r>
      <w:r w:rsidR="00B870F5">
        <w:rPr>
          <w:sz w:val="22"/>
          <w:szCs w:val="22"/>
        </w:rPr>
        <w:t xml:space="preserve"> (EN-DC)</w:t>
      </w:r>
      <w:r w:rsidRPr="00DF54FD">
        <w:rPr>
          <w:sz w:val="22"/>
          <w:szCs w:val="22"/>
        </w:rPr>
        <w:t xml:space="preserve">, requires UEs to support both LTE and NR uplink transmissions. </w:t>
      </w:r>
    </w:p>
    <w:p w14:paraId="1A49EB03" w14:textId="77777777" w:rsidR="00892DD2" w:rsidRPr="00DF54FD" w:rsidRDefault="00892DD2" w:rsidP="00ED4362">
      <w:pPr>
        <w:jc w:val="both"/>
        <w:rPr>
          <w:sz w:val="22"/>
          <w:szCs w:val="22"/>
        </w:rPr>
      </w:pPr>
    </w:p>
    <w:p w14:paraId="0DD84E2F" w14:textId="77777777" w:rsidR="00ED4362" w:rsidRPr="00DF54FD" w:rsidRDefault="00ED4362" w:rsidP="00ED4362">
      <w:pPr>
        <w:jc w:val="both"/>
        <w:rPr>
          <w:sz w:val="22"/>
          <w:szCs w:val="22"/>
        </w:rPr>
      </w:pPr>
      <w:r w:rsidRPr="00DF54FD">
        <w:rPr>
          <w:sz w:val="22"/>
          <w:szCs w:val="22"/>
        </w:rPr>
        <w:t>In EN-DC, based on whether UE is required to transmit LTE UL and NR UL simultaneously, UE can have two different UL operation modes</w:t>
      </w:r>
    </w:p>
    <w:p w14:paraId="6CAB30AF" w14:textId="77777777" w:rsidR="00422E82" w:rsidRPr="00DF54FD" w:rsidRDefault="00422E82" w:rsidP="00ED4362">
      <w:pPr>
        <w:jc w:val="both"/>
        <w:rPr>
          <w:sz w:val="22"/>
          <w:szCs w:val="22"/>
        </w:rPr>
      </w:pPr>
    </w:p>
    <w:p w14:paraId="3E3C0E2E" w14:textId="77777777" w:rsidR="00ED4362" w:rsidRPr="00DF54FD" w:rsidRDefault="00ED4362" w:rsidP="00447607">
      <w:pPr>
        <w:pStyle w:val="ListParagraph"/>
        <w:numPr>
          <w:ilvl w:val="0"/>
          <w:numId w:val="18"/>
        </w:numPr>
        <w:jc w:val="both"/>
        <w:rPr>
          <w:rFonts w:ascii="Times New Roman" w:hAnsi="Times New Roman"/>
        </w:rPr>
      </w:pPr>
      <w:r w:rsidRPr="00DF54FD">
        <w:rPr>
          <w:rFonts w:ascii="Times New Roman" w:hAnsi="Times New Roman"/>
        </w:rPr>
        <w:t xml:space="preserve">Dual UL transmission: in this mode, UE is required to transmit LTE UL and NR UL simultaneously </w:t>
      </w:r>
    </w:p>
    <w:p w14:paraId="20F8E1E4" w14:textId="44F9D7E2" w:rsidR="00ED4362" w:rsidRPr="00DF54FD" w:rsidRDefault="00ED4362" w:rsidP="00447607">
      <w:pPr>
        <w:pStyle w:val="ListParagraph"/>
        <w:numPr>
          <w:ilvl w:val="0"/>
          <w:numId w:val="18"/>
        </w:numPr>
        <w:jc w:val="both"/>
        <w:rPr>
          <w:rFonts w:ascii="Times New Roman" w:hAnsi="Times New Roman"/>
        </w:rPr>
      </w:pPr>
      <w:r w:rsidRPr="00DF54FD">
        <w:rPr>
          <w:rFonts w:ascii="Times New Roman" w:hAnsi="Times New Roman"/>
        </w:rPr>
        <w:t xml:space="preserve">Single UL transmission: in this mode, at any given time, UE is </w:t>
      </w:r>
      <w:r w:rsidR="00527463">
        <w:rPr>
          <w:rFonts w:ascii="Times New Roman" w:hAnsi="Times New Roman"/>
        </w:rPr>
        <w:t xml:space="preserve">only </w:t>
      </w:r>
      <w:r w:rsidRPr="00DF54FD">
        <w:rPr>
          <w:rFonts w:ascii="Times New Roman" w:hAnsi="Times New Roman"/>
        </w:rPr>
        <w:t>required to transmit uplink in at most one RAT, i.e. either LTE or NR.</w:t>
      </w:r>
      <w:r w:rsidR="0072029C">
        <w:rPr>
          <w:rFonts w:ascii="Times New Roman" w:hAnsi="Times New Roman"/>
        </w:rPr>
        <w:t xml:space="preserve"> We also re</w:t>
      </w:r>
      <w:r w:rsidR="007422EF">
        <w:rPr>
          <w:rFonts w:ascii="Times New Roman" w:hAnsi="Times New Roman"/>
        </w:rPr>
        <w:t xml:space="preserve">fer </w:t>
      </w:r>
      <w:r w:rsidR="00082AA2">
        <w:rPr>
          <w:rFonts w:ascii="Times New Roman" w:hAnsi="Times New Roman"/>
        </w:rPr>
        <w:t xml:space="preserve">to </w:t>
      </w:r>
      <w:r w:rsidR="007422EF">
        <w:rPr>
          <w:rFonts w:ascii="Times New Roman" w:hAnsi="Times New Roman"/>
        </w:rPr>
        <w:t>it as Single Tx Switched UL.</w:t>
      </w:r>
    </w:p>
    <w:p w14:paraId="06FE9FE1" w14:textId="77777777" w:rsidR="00ED4362" w:rsidRPr="00DF54FD" w:rsidRDefault="00ED4362" w:rsidP="00ED4362">
      <w:pPr>
        <w:pStyle w:val="ListParagraph"/>
        <w:jc w:val="both"/>
        <w:rPr>
          <w:rFonts w:ascii="Times New Roman" w:hAnsi="Times New Roman"/>
        </w:rPr>
      </w:pPr>
      <w:r w:rsidRPr="00DF54FD">
        <w:rPr>
          <w:rFonts w:ascii="Times New Roman" w:hAnsi="Times New Roman"/>
        </w:rPr>
        <w:t xml:space="preserve">  </w:t>
      </w:r>
    </w:p>
    <w:p w14:paraId="7148291E" w14:textId="0DF6C94E" w:rsidR="00ED4362" w:rsidRPr="00DF54FD" w:rsidRDefault="00ED4362" w:rsidP="00ED4362">
      <w:pPr>
        <w:jc w:val="both"/>
        <w:rPr>
          <w:sz w:val="22"/>
          <w:szCs w:val="22"/>
        </w:rPr>
      </w:pPr>
      <w:r w:rsidRPr="00DF54FD">
        <w:rPr>
          <w:sz w:val="22"/>
          <w:szCs w:val="22"/>
        </w:rPr>
        <w:t xml:space="preserve">Compared </w:t>
      </w:r>
      <w:r w:rsidR="001C06CE">
        <w:rPr>
          <w:sz w:val="22"/>
          <w:szCs w:val="22"/>
        </w:rPr>
        <w:t>to dual UL transmission, Single Tx Switched UL</w:t>
      </w:r>
      <w:r w:rsidRPr="00DF54FD">
        <w:rPr>
          <w:sz w:val="22"/>
          <w:szCs w:val="22"/>
        </w:rPr>
        <w:t xml:space="preserve"> has many performance benefits especially for the UE in power limited scenario</w:t>
      </w:r>
      <w:r w:rsidR="005D76E4" w:rsidRPr="00DF54FD">
        <w:rPr>
          <w:sz w:val="22"/>
          <w:szCs w:val="22"/>
        </w:rPr>
        <w:t xml:space="preserve"> (i.e. cell edge) as well as implementation advantages</w:t>
      </w:r>
      <w:r w:rsidRPr="00DF54FD">
        <w:rPr>
          <w:sz w:val="22"/>
          <w:szCs w:val="22"/>
        </w:rPr>
        <w:t xml:space="preserve">. </w:t>
      </w:r>
    </w:p>
    <w:p w14:paraId="34E8C291" w14:textId="77777777" w:rsidR="00221C6A" w:rsidRPr="00DF54FD" w:rsidRDefault="00221C6A" w:rsidP="00ED4362">
      <w:pPr>
        <w:jc w:val="both"/>
        <w:rPr>
          <w:sz w:val="22"/>
          <w:szCs w:val="22"/>
        </w:rPr>
      </w:pPr>
    </w:p>
    <w:p w14:paraId="785E4E72" w14:textId="1157B226" w:rsidR="00ED4362" w:rsidRPr="00DF54FD" w:rsidRDefault="00565E6C" w:rsidP="00565E6C">
      <w:pPr>
        <w:pStyle w:val="ListParagraph"/>
        <w:numPr>
          <w:ilvl w:val="0"/>
          <w:numId w:val="19"/>
        </w:numPr>
        <w:jc w:val="both"/>
        <w:rPr>
          <w:rFonts w:ascii="Times New Roman" w:hAnsi="Times New Roman"/>
        </w:rPr>
      </w:pPr>
      <w:r w:rsidRPr="00565E6C">
        <w:rPr>
          <w:rFonts w:ascii="Times New Roman" w:hAnsi="Times New Roman"/>
          <w:u w:val="single"/>
        </w:rPr>
        <w:t xml:space="preserve">Single Tx Switched UL </w:t>
      </w:r>
      <w:r w:rsidR="00ED4362" w:rsidRPr="00DF54FD">
        <w:rPr>
          <w:rFonts w:ascii="Times New Roman" w:hAnsi="Times New Roman"/>
          <w:u w:val="single"/>
        </w:rPr>
        <w:t>solves the DL desense problem:</w:t>
      </w:r>
      <w:r w:rsidR="00ED4362" w:rsidRPr="00DF54FD">
        <w:rPr>
          <w:rFonts w:ascii="Times New Roman" w:hAnsi="Times New Roman"/>
        </w:rPr>
        <w:t xml:space="preserve"> as explained in [1</w:t>
      </w:r>
      <w:r w:rsidR="005F3F5D" w:rsidRPr="00DF54FD">
        <w:rPr>
          <w:rFonts w:ascii="Times New Roman" w:hAnsi="Times New Roman"/>
        </w:rPr>
        <w:t xml:space="preserve">, </w:t>
      </w:r>
      <w:r w:rsidR="00ED4362" w:rsidRPr="00DF54FD">
        <w:rPr>
          <w:rFonts w:ascii="Times New Roman" w:hAnsi="Times New Roman"/>
        </w:rPr>
        <w:t>2</w:t>
      </w:r>
      <w:r w:rsidR="005F3F5D" w:rsidRPr="00DF54FD">
        <w:rPr>
          <w:rFonts w:ascii="Times New Roman" w:hAnsi="Times New Roman"/>
        </w:rPr>
        <w:t xml:space="preserve">, </w:t>
      </w:r>
      <w:r w:rsidR="00ED4362" w:rsidRPr="00DF54FD">
        <w:rPr>
          <w:rFonts w:ascii="Times New Roman" w:hAnsi="Times New Roman"/>
        </w:rPr>
        <w:t>3], depending on the band combinations</w:t>
      </w:r>
      <w:r w:rsidR="00BB332C" w:rsidRPr="00DF54FD">
        <w:rPr>
          <w:rFonts w:ascii="Times New Roman" w:hAnsi="Times New Roman"/>
        </w:rPr>
        <w:t xml:space="preserve"> and resource allocation</w:t>
      </w:r>
      <w:r w:rsidR="00ED4362" w:rsidRPr="00DF54FD">
        <w:rPr>
          <w:rFonts w:ascii="Times New Roman" w:hAnsi="Times New Roman"/>
        </w:rPr>
        <w:t>, sending two concurrent uplinks</w:t>
      </w:r>
      <w:r w:rsidR="00BB332C" w:rsidRPr="00DF54FD">
        <w:rPr>
          <w:rFonts w:ascii="Times New Roman" w:hAnsi="Times New Roman"/>
        </w:rPr>
        <w:t xml:space="preserve"> </w:t>
      </w:r>
      <w:r w:rsidR="00ED4362" w:rsidRPr="00DF54FD">
        <w:rPr>
          <w:rFonts w:ascii="Times New Roman" w:hAnsi="Times New Roman"/>
        </w:rPr>
        <w:t xml:space="preserve">can produce undesirable intermodulation products that could fall right into the NR or LTE receiving bands, causing degradation of UE’s receiver sensitivity. This is especially problematic for band combinations for both LTE and NR bands below 6 GHz, the impacted receiver bands due to MSD can be virtually not usable in practice, and it creates extreme challenges in RF implementations. </w:t>
      </w:r>
    </w:p>
    <w:p w14:paraId="54F450A4" w14:textId="13C2F5C8" w:rsidR="00ED4362" w:rsidRPr="00DF54FD" w:rsidRDefault="00DD72B0" w:rsidP="00447607">
      <w:pPr>
        <w:pStyle w:val="ListParagraph"/>
        <w:numPr>
          <w:ilvl w:val="0"/>
          <w:numId w:val="19"/>
        </w:numPr>
        <w:jc w:val="both"/>
        <w:rPr>
          <w:rFonts w:ascii="Times New Roman" w:hAnsi="Times New Roman"/>
        </w:rPr>
      </w:pPr>
      <w:r w:rsidRPr="00565E6C">
        <w:rPr>
          <w:rFonts w:ascii="Times New Roman" w:hAnsi="Times New Roman"/>
          <w:u w:val="single"/>
        </w:rPr>
        <w:t xml:space="preserve">Single Tx Switched UL </w:t>
      </w:r>
      <w:r w:rsidR="00ED4362" w:rsidRPr="00DF54FD">
        <w:rPr>
          <w:rFonts w:ascii="Times New Roman" w:hAnsi="Times New Roman"/>
          <w:u w:val="single"/>
        </w:rPr>
        <w:t>removes the UE additional maximum transmit power backoff requirement i.e. A-MPR:</w:t>
      </w:r>
      <w:r w:rsidR="00ED4362" w:rsidRPr="00DF54FD">
        <w:rPr>
          <w:rFonts w:ascii="Times New Roman" w:hAnsi="Times New Roman"/>
        </w:rPr>
        <w:t xml:space="preserve"> As discussed in [4], simultaneous LTE and NR UL transmission can cause intermodulation products outside the desired transmission bandwidth, which can violate the regulatory emission requirement. To meet the regulatory emission requirement, UE </w:t>
      </w:r>
      <w:r w:rsidR="000622A6" w:rsidRPr="00DF54FD">
        <w:rPr>
          <w:rFonts w:ascii="Times New Roman" w:hAnsi="Times New Roman"/>
        </w:rPr>
        <w:t>is</w:t>
      </w:r>
      <w:r w:rsidR="00ED4362" w:rsidRPr="00DF54FD">
        <w:rPr>
          <w:rFonts w:ascii="Times New Roman" w:hAnsi="Times New Roman"/>
        </w:rPr>
        <w:t xml:space="preserve"> required to apply additional maximum transmit power backoff, i.e. A-MPR. </w:t>
      </w:r>
    </w:p>
    <w:p w14:paraId="3BC68CB4" w14:textId="03CC822E" w:rsidR="00ED4362" w:rsidRPr="00DF54FD" w:rsidRDefault="00313EC2" w:rsidP="00447607">
      <w:pPr>
        <w:pStyle w:val="ListParagraph"/>
        <w:numPr>
          <w:ilvl w:val="0"/>
          <w:numId w:val="19"/>
        </w:numPr>
        <w:jc w:val="both"/>
        <w:rPr>
          <w:rFonts w:ascii="Times New Roman" w:hAnsi="Times New Roman"/>
        </w:rPr>
      </w:pPr>
      <w:r w:rsidRPr="00565E6C">
        <w:rPr>
          <w:rFonts w:ascii="Times New Roman" w:hAnsi="Times New Roman"/>
          <w:u w:val="single"/>
        </w:rPr>
        <w:t xml:space="preserve">Single Tx Switched UL </w:t>
      </w:r>
      <w:r w:rsidR="00ED4362" w:rsidRPr="00DF54FD">
        <w:rPr>
          <w:rFonts w:ascii="Times New Roman" w:hAnsi="Times New Roman"/>
          <w:u w:val="single"/>
        </w:rPr>
        <w:t>ensures coverage for UE not capable of dynamic power sharing:</w:t>
      </w:r>
      <w:r w:rsidR="00ED4362" w:rsidRPr="00DF54FD">
        <w:rPr>
          <w:rFonts w:ascii="Times New Roman" w:hAnsi="Times New Roman"/>
        </w:rPr>
        <w:t xml:space="preserve"> For EN-DC, total maximum transmit power budget has to be shared between LTE and NR in case of dual UL transmission. However, the initial NR UE may not support dynamic power sharing between LTE and NR. As result</w:t>
      </w:r>
      <w:r w:rsidR="005E1C98">
        <w:rPr>
          <w:rFonts w:ascii="Times New Roman" w:hAnsi="Times New Roman"/>
        </w:rPr>
        <w:t>s</w:t>
      </w:r>
      <w:r w:rsidR="00ED4362" w:rsidRPr="00DF54FD">
        <w:rPr>
          <w:rFonts w:ascii="Times New Roman" w:hAnsi="Times New Roman"/>
        </w:rPr>
        <w:t xml:space="preserve">, maximum transmission power budget has to be split semi-statically between LTE and NR. For example, a 23dBm total maximum transmit power limit can be split </w:t>
      </w:r>
      <w:r w:rsidR="00900801">
        <w:rPr>
          <w:rFonts w:ascii="Times New Roman" w:hAnsi="Times New Roman"/>
        </w:rPr>
        <w:t xml:space="preserve">equally </w:t>
      </w:r>
      <w:r w:rsidR="00ED4362" w:rsidRPr="00DF54FD">
        <w:rPr>
          <w:rFonts w:ascii="Times New Roman" w:hAnsi="Times New Roman"/>
        </w:rPr>
        <w:t xml:space="preserve">such that both LTE and NR have 20dB maximum transmit power per RAT. Compared to single UL transmission where each RAT can transmit up to 23dBm, this reduces the coverage by 3dB. </w:t>
      </w:r>
    </w:p>
    <w:p w14:paraId="37E2C077" w14:textId="2B94B80D" w:rsidR="00EB22DA" w:rsidRPr="00DF54FD" w:rsidRDefault="00743E60" w:rsidP="00447607">
      <w:pPr>
        <w:pStyle w:val="ListParagraph"/>
        <w:numPr>
          <w:ilvl w:val="0"/>
          <w:numId w:val="19"/>
        </w:numPr>
        <w:jc w:val="both"/>
        <w:rPr>
          <w:rFonts w:ascii="Times New Roman" w:hAnsi="Times New Roman"/>
        </w:rPr>
      </w:pPr>
      <w:r w:rsidRPr="00565E6C">
        <w:rPr>
          <w:rFonts w:ascii="Times New Roman" w:hAnsi="Times New Roman"/>
          <w:u w:val="single"/>
        </w:rPr>
        <w:t xml:space="preserve">Single Tx Switched UL </w:t>
      </w:r>
      <w:r w:rsidR="00CD31A8" w:rsidRPr="00DF54FD">
        <w:rPr>
          <w:rFonts w:ascii="Times New Roman" w:hAnsi="Times New Roman"/>
          <w:u w:val="single"/>
        </w:rPr>
        <w:t xml:space="preserve">reduces </w:t>
      </w:r>
      <w:r w:rsidR="000856E5" w:rsidRPr="00DF54FD">
        <w:rPr>
          <w:rFonts w:ascii="Times New Roman" w:hAnsi="Times New Roman"/>
          <w:u w:val="single"/>
        </w:rPr>
        <w:t>the impact on the RF frontend architecture</w:t>
      </w:r>
      <w:r w:rsidR="0037323B" w:rsidRPr="00DF54FD">
        <w:rPr>
          <w:rFonts w:ascii="Times New Roman" w:hAnsi="Times New Roman"/>
          <w:u w:val="single"/>
        </w:rPr>
        <w:t>:</w:t>
      </w:r>
      <w:r w:rsidR="0037323B" w:rsidRPr="00DF54FD">
        <w:rPr>
          <w:rFonts w:ascii="Times New Roman" w:hAnsi="Times New Roman"/>
        </w:rPr>
        <w:t xml:space="preserve"> </w:t>
      </w:r>
      <w:r w:rsidR="00EB22DA" w:rsidRPr="00DF54FD">
        <w:rPr>
          <w:rFonts w:ascii="Times New Roman" w:hAnsi="Times New Roman"/>
        </w:rPr>
        <w:t>Compar</w:t>
      </w:r>
      <w:r w:rsidR="00500988" w:rsidRPr="00DF54FD">
        <w:rPr>
          <w:rFonts w:ascii="Times New Roman" w:hAnsi="Times New Roman"/>
        </w:rPr>
        <w:t>ed</w:t>
      </w:r>
      <w:r w:rsidR="00EB22DA" w:rsidRPr="00DF54FD">
        <w:rPr>
          <w:rFonts w:ascii="Times New Roman" w:hAnsi="Times New Roman"/>
        </w:rPr>
        <w:t xml:space="preserve"> to single UL transmission, supporting of dual UL transmission require</w:t>
      </w:r>
      <w:r w:rsidR="0047525B" w:rsidRPr="00DF54FD">
        <w:rPr>
          <w:rFonts w:ascii="Times New Roman" w:hAnsi="Times New Roman"/>
        </w:rPr>
        <w:t>s</w:t>
      </w:r>
      <w:r w:rsidR="00EB22DA" w:rsidRPr="00DF54FD">
        <w:rPr>
          <w:rFonts w:ascii="Times New Roman" w:hAnsi="Times New Roman"/>
        </w:rPr>
        <w:t xml:space="preserve"> the device to completely change its RF frontend architecture </w:t>
      </w:r>
      <w:r w:rsidR="001644AA" w:rsidRPr="00DF54FD">
        <w:rPr>
          <w:rFonts w:ascii="Times New Roman" w:hAnsi="Times New Roman"/>
        </w:rPr>
        <w:t>while</w:t>
      </w:r>
      <w:r w:rsidR="00EB22DA" w:rsidRPr="00DF54FD">
        <w:rPr>
          <w:rFonts w:ascii="Times New Roman" w:hAnsi="Times New Roman"/>
        </w:rPr>
        <w:t xml:space="preserve"> adds significant</w:t>
      </w:r>
      <w:r w:rsidR="001644AA" w:rsidRPr="00DF54FD">
        <w:rPr>
          <w:rFonts w:ascii="Times New Roman" w:hAnsi="Times New Roman"/>
        </w:rPr>
        <w:t>ly</w:t>
      </w:r>
      <w:r w:rsidR="00EB22DA" w:rsidRPr="00DF54FD">
        <w:rPr>
          <w:rFonts w:ascii="Times New Roman" w:hAnsi="Times New Roman"/>
        </w:rPr>
        <w:t xml:space="preserve"> more complexity. As results, mandating dual UL transmission will </w:t>
      </w:r>
      <w:r w:rsidR="00D6607B" w:rsidRPr="00DF54FD">
        <w:rPr>
          <w:rFonts w:ascii="Times New Roman" w:hAnsi="Times New Roman"/>
        </w:rPr>
        <w:t xml:space="preserve">cause the </w:t>
      </w:r>
      <w:r w:rsidR="00EB22DA" w:rsidRPr="00DF54FD">
        <w:rPr>
          <w:rFonts w:ascii="Times New Roman" w:hAnsi="Times New Roman"/>
        </w:rPr>
        <w:t xml:space="preserve">UE </w:t>
      </w:r>
      <w:r w:rsidR="00D6607B" w:rsidRPr="00DF54FD">
        <w:rPr>
          <w:rFonts w:ascii="Times New Roman" w:hAnsi="Times New Roman"/>
        </w:rPr>
        <w:t xml:space="preserve">to </w:t>
      </w:r>
      <w:r w:rsidR="00EB22DA" w:rsidRPr="00DF54FD">
        <w:rPr>
          <w:rFonts w:ascii="Times New Roman" w:hAnsi="Times New Roman"/>
        </w:rPr>
        <w:t>support much less number of band combinations.</w:t>
      </w:r>
      <w:r w:rsidR="00B05596" w:rsidRPr="00DF54FD">
        <w:rPr>
          <w:rFonts w:ascii="Times New Roman" w:hAnsi="Times New Roman"/>
        </w:rPr>
        <w:t xml:space="preserve"> The detailed explanation can be found in </w:t>
      </w:r>
      <w:r w:rsidR="00584529" w:rsidRPr="00DF54FD">
        <w:rPr>
          <w:rFonts w:ascii="Times New Roman" w:hAnsi="Times New Roman"/>
        </w:rPr>
        <w:t>[5]</w:t>
      </w:r>
    </w:p>
    <w:p w14:paraId="4B10A929" w14:textId="77777777" w:rsidR="00ED4362" w:rsidRPr="00DF54FD" w:rsidRDefault="00ED4362" w:rsidP="00500988">
      <w:pPr>
        <w:jc w:val="both"/>
      </w:pPr>
    </w:p>
    <w:p w14:paraId="59366694" w14:textId="020C78B9" w:rsidR="00ED4362" w:rsidRDefault="00ED4362" w:rsidP="00ED4362">
      <w:pPr>
        <w:jc w:val="both"/>
        <w:rPr>
          <w:sz w:val="22"/>
          <w:szCs w:val="22"/>
        </w:rPr>
      </w:pPr>
      <w:r w:rsidRPr="00DF54FD">
        <w:rPr>
          <w:sz w:val="22"/>
          <w:szCs w:val="22"/>
        </w:rPr>
        <w:t>In 3GPP RAN#77</w:t>
      </w:r>
      <w:r w:rsidR="001A6657" w:rsidRPr="00DF54FD">
        <w:rPr>
          <w:sz w:val="22"/>
          <w:szCs w:val="22"/>
        </w:rPr>
        <w:t xml:space="preserve"> [6</w:t>
      </w:r>
      <w:r w:rsidRPr="00DF54FD">
        <w:rPr>
          <w:sz w:val="22"/>
          <w:szCs w:val="22"/>
        </w:rPr>
        <w:t>], it was agreed to introduce the indication of whether UE supports 2 simultaneous UL transmission</w:t>
      </w:r>
      <w:r w:rsidR="00102304">
        <w:rPr>
          <w:sz w:val="22"/>
          <w:szCs w:val="22"/>
        </w:rPr>
        <w:t xml:space="preserve"> for certain band combinations</w:t>
      </w:r>
      <w:r w:rsidRPr="00DF54FD">
        <w:rPr>
          <w:sz w:val="22"/>
          <w:szCs w:val="22"/>
        </w:rPr>
        <w:t>.</w:t>
      </w:r>
    </w:p>
    <w:p w14:paraId="140BA5CB" w14:textId="77777777" w:rsidR="00F03ED4" w:rsidRPr="00DF54FD" w:rsidRDefault="00F03ED4" w:rsidP="00ED4362">
      <w:pPr>
        <w:jc w:val="both"/>
        <w:rPr>
          <w:sz w:val="22"/>
          <w:szCs w:val="22"/>
        </w:rPr>
      </w:pPr>
    </w:p>
    <w:tbl>
      <w:tblPr>
        <w:tblStyle w:val="TableGrid"/>
        <w:tblW w:w="0" w:type="auto"/>
        <w:tblLook w:val="04A0" w:firstRow="1" w:lastRow="0" w:firstColumn="1" w:lastColumn="0" w:noHBand="0" w:noVBand="1"/>
      </w:tblPr>
      <w:tblGrid>
        <w:gridCol w:w="9855"/>
      </w:tblGrid>
      <w:tr w:rsidR="00ED4362" w:rsidRPr="00DF54FD" w14:paraId="2AF0083D" w14:textId="77777777" w:rsidTr="00664A3A">
        <w:tc>
          <w:tcPr>
            <w:tcW w:w="9855" w:type="dxa"/>
          </w:tcPr>
          <w:p w14:paraId="170A300F" w14:textId="77777777" w:rsidR="00ED4362" w:rsidRPr="00DF54FD" w:rsidRDefault="00ED4362" w:rsidP="00447607">
            <w:pPr>
              <w:pStyle w:val="ListParagraph"/>
              <w:numPr>
                <w:ilvl w:val="0"/>
                <w:numId w:val="20"/>
              </w:numPr>
              <w:jc w:val="both"/>
              <w:rPr>
                <w:rFonts w:ascii="Times New Roman" w:hAnsi="Times New Roman"/>
              </w:rPr>
            </w:pPr>
            <w:r w:rsidRPr="00DF54FD">
              <w:rPr>
                <w:rFonts w:ascii="Times New Roman" w:hAnsi="Times New Roman"/>
              </w:rPr>
              <w:t>Define in RAN4 specs for which band combinations and channel allocations (to the extent specified by RAN4) within that band combination the UE is allowed to indicate that it does not support 2 simultaneous UL tx (this is not implying the granularity of the signalling)</w:t>
            </w:r>
          </w:p>
          <w:p w14:paraId="7CE25F53" w14:textId="77777777" w:rsidR="00ED4362" w:rsidRPr="00DF54FD" w:rsidRDefault="00ED4362" w:rsidP="00664A3A">
            <w:pPr>
              <w:jc w:val="both"/>
              <w:rPr>
                <w:sz w:val="22"/>
                <w:szCs w:val="22"/>
              </w:rPr>
            </w:pPr>
          </w:p>
          <w:p w14:paraId="136FF5FB" w14:textId="77777777" w:rsidR="00ED4362" w:rsidRPr="00DF54FD" w:rsidRDefault="00ED4362" w:rsidP="00447607">
            <w:pPr>
              <w:pStyle w:val="ListParagraph"/>
              <w:numPr>
                <w:ilvl w:val="0"/>
                <w:numId w:val="20"/>
              </w:numPr>
              <w:jc w:val="both"/>
              <w:rPr>
                <w:rFonts w:ascii="Times New Roman" w:hAnsi="Times New Roman"/>
              </w:rPr>
            </w:pPr>
            <w:r w:rsidRPr="00DF54FD">
              <w:rPr>
                <w:rFonts w:ascii="Times New Roman" w:hAnsi="Times New Roman"/>
              </w:rPr>
              <w:t>Signalling to be defined to support the 'red text' from RAN4 part of the single tx discussion (i.e. as in RP-172064):</w:t>
            </w:r>
          </w:p>
          <w:p w14:paraId="493C575B" w14:textId="77777777" w:rsidR="00ED4362" w:rsidRPr="00DF54FD" w:rsidRDefault="00ED4362" w:rsidP="00447607">
            <w:pPr>
              <w:pStyle w:val="ListParagraph"/>
              <w:numPr>
                <w:ilvl w:val="1"/>
                <w:numId w:val="20"/>
              </w:numPr>
              <w:jc w:val="both"/>
              <w:rPr>
                <w:rFonts w:ascii="Times New Roman" w:hAnsi="Times New Roman"/>
              </w:rPr>
            </w:pPr>
            <w:r w:rsidRPr="00DF54FD">
              <w:rPr>
                <w:rFonts w:ascii="Times New Roman" w:hAnsi="Times New Roman"/>
              </w:rPr>
              <w:t>UE capability indicates that the UE does not allow 2 simultaneous UL transmission for the RAN4 specified channel allocations in a given band combination. If the network chooses to operate the UE in a way that is not consistent with this capability indication then the UE behavior is not specified and the UE might not meet the performance criteria.</w:t>
            </w:r>
          </w:p>
        </w:tc>
      </w:tr>
    </w:tbl>
    <w:p w14:paraId="7F09EC54" w14:textId="77777777" w:rsidR="00A171D3" w:rsidRDefault="00A171D3" w:rsidP="00ED4362">
      <w:pPr>
        <w:jc w:val="both"/>
        <w:rPr>
          <w:sz w:val="22"/>
          <w:szCs w:val="22"/>
        </w:rPr>
      </w:pPr>
    </w:p>
    <w:p w14:paraId="1DFEDFE2" w14:textId="61895605" w:rsidR="00F62E00" w:rsidRDefault="00A171D3" w:rsidP="00ED4362">
      <w:pPr>
        <w:jc w:val="both"/>
        <w:rPr>
          <w:sz w:val="22"/>
          <w:szCs w:val="22"/>
        </w:rPr>
      </w:pPr>
      <w:r>
        <w:rPr>
          <w:sz w:val="22"/>
          <w:szCs w:val="22"/>
        </w:rPr>
        <w:t xml:space="preserve">Single Tx Switched UL </w:t>
      </w:r>
      <w:r w:rsidR="00C97924">
        <w:rPr>
          <w:sz w:val="22"/>
          <w:szCs w:val="22"/>
        </w:rPr>
        <w:t xml:space="preserve">operation </w:t>
      </w:r>
      <w:r>
        <w:rPr>
          <w:sz w:val="22"/>
          <w:szCs w:val="22"/>
        </w:rPr>
        <w:t xml:space="preserve">requires the UL resources to be allocated to NR and LTE in a TDM manner. </w:t>
      </w:r>
      <w:r w:rsidR="008A2857">
        <w:rPr>
          <w:sz w:val="22"/>
          <w:szCs w:val="22"/>
        </w:rPr>
        <w:t xml:space="preserve">From RAN1 perspective, </w:t>
      </w:r>
      <w:r w:rsidR="00F62E00">
        <w:rPr>
          <w:sz w:val="22"/>
          <w:szCs w:val="22"/>
        </w:rPr>
        <w:t>the design of mechanism for Single Tx Switched UL needs to consider at least the following aspects</w:t>
      </w:r>
    </w:p>
    <w:p w14:paraId="7EEDE1F2" w14:textId="77777777" w:rsidR="00F62E00" w:rsidRDefault="00F62E00" w:rsidP="00ED4362">
      <w:pPr>
        <w:jc w:val="both"/>
        <w:rPr>
          <w:sz w:val="22"/>
          <w:szCs w:val="22"/>
        </w:rPr>
      </w:pPr>
    </w:p>
    <w:p w14:paraId="319CE592" w14:textId="4F317A54" w:rsidR="00B4332C" w:rsidRDefault="00B4332C" w:rsidP="00F62E00">
      <w:pPr>
        <w:pStyle w:val="ListParagraph"/>
        <w:numPr>
          <w:ilvl w:val="0"/>
          <w:numId w:val="28"/>
        </w:numPr>
        <w:jc w:val="both"/>
        <w:rPr>
          <w:rFonts w:ascii="Times New Roman" w:hAnsi="Times New Roman"/>
        </w:rPr>
      </w:pPr>
      <w:r>
        <w:rPr>
          <w:rFonts w:ascii="Times New Roman" w:hAnsi="Times New Roman"/>
        </w:rPr>
        <w:t>Minimum or no impact on the DL operation, especially no restrictions on the resources that can be used for DL scheduling. T</w:t>
      </w:r>
      <w:r w:rsidR="005418FC">
        <w:rPr>
          <w:rFonts w:ascii="Times New Roman" w:hAnsi="Times New Roman"/>
        </w:rPr>
        <w:t>o</w:t>
      </w:r>
      <w:r>
        <w:rPr>
          <w:rFonts w:ascii="Times New Roman" w:hAnsi="Times New Roman"/>
        </w:rPr>
        <w:t xml:space="preserve"> support DL operation, ACK/NAK needs to be fe</w:t>
      </w:r>
      <w:r w:rsidR="00274A80">
        <w:rPr>
          <w:rFonts w:ascii="Times New Roman" w:hAnsi="Times New Roman"/>
        </w:rPr>
        <w:t>e</w:t>
      </w:r>
      <w:r>
        <w:rPr>
          <w:rFonts w:ascii="Times New Roman" w:hAnsi="Times New Roman"/>
        </w:rPr>
        <w:t xml:space="preserve">dback on UL. When UL resources are restricted due to the TDM resource partition between LTE and NR, it is important to avoid potential restriction on the DL </w:t>
      </w:r>
      <w:r w:rsidR="000C1903">
        <w:rPr>
          <w:rFonts w:ascii="Times New Roman" w:hAnsi="Times New Roman"/>
        </w:rPr>
        <w:t xml:space="preserve">HARQ </w:t>
      </w:r>
      <w:r>
        <w:rPr>
          <w:rFonts w:ascii="Times New Roman" w:hAnsi="Times New Roman"/>
        </w:rPr>
        <w:t>operation.</w:t>
      </w:r>
    </w:p>
    <w:p w14:paraId="62D5A20E" w14:textId="2EAF7929" w:rsidR="00F62E00" w:rsidRPr="00ED45CB" w:rsidRDefault="00713B4C" w:rsidP="00ED45CB">
      <w:pPr>
        <w:pStyle w:val="ListParagraph"/>
        <w:numPr>
          <w:ilvl w:val="0"/>
          <w:numId w:val="28"/>
        </w:numPr>
        <w:jc w:val="both"/>
        <w:rPr>
          <w:rFonts w:ascii="Times New Roman" w:hAnsi="Times New Roman"/>
        </w:rPr>
      </w:pPr>
      <w:r>
        <w:rPr>
          <w:rFonts w:ascii="Times New Roman" w:hAnsi="Times New Roman"/>
        </w:rPr>
        <w:t>Minimum or no impact on the UL HARQ operation</w:t>
      </w:r>
      <w:r w:rsidR="00ED45CB">
        <w:rPr>
          <w:rFonts w:ascii="Times New Roman" w:hAnsi="Times New Roman"/>
        </w:rPr>
        <w:t>.</w:t>
      </w:r>
      <w:r w:rsidR="002B73E3">
        <w:rPr>
          <w:rFonts w:ascii="Times New Roman" w:hAnsi="Times New Roman"/>
        </w:rPr>
        <w:t xml:space="preserve"> This is especially important for LTE as LTE employs synchronous UL HARQ operation. When UL resource</w:t>
      </w:r>
      <w:r w:rsidR="009904BB">
        <w:rPr>
          <w:rFonts w:ascii="Times New Roman" w:hAnsi="Times New Roman"/>
        </w:rPr>
        <w:t>s</w:t>
      </w:r>
      <w:r w:rsidR="002B73E3">
        <w:rPr>
          <w:rFonts w:ascii="Times New Roman" w:hAnsi="Times New Roman"/>
        </w:rPr>
        <w:t xml:space="preserve"> are restricted for LTE, it is important to ensure that UL HARQ operation is not impacted.</w:t>
      </w:r>
    </w:p>
    <w:p w14:paraId="0701F535" w14:textId="4654F360" w:rsidR="00F62E00" w:rsidRPr="00F62E00" w:rsidRDefault="00F62E00" w:rsidP="00F62E00">
      <w:pPr>
        <w:pStyle w:val="ListParagraph"/>
        <w:numPr>
          <w:ilvl w:val="0"/>
          <w:numId w:val="28"/>
        </w:numPr>
        <w:jc w:val="both"/>
        <w:rPr>
          <w:rFonts w:ascii="Times New Roman" w:hAnsi="Times New Roman"/>
        </w:rPr>
      </w:pPr>
      <w:r w:rsidRPr="00F62E00">
        <w:rPr>
          <w:rFonts w:ascii="Times New Roman" w:hAnsi="Times New Roman"/>
        </w:rPr>
        <w:t xml:space="preserve">It is desirable to allow the UL resource to be semi-statically allocated between LTE and NR in TDM manner, instead of relying on the dynamic scheduling to </w:t>
      </w:r>
      <w:r w:rsidR="00B4332C" w:rsidRPr="00F62E00">
        <w:rPr>
          <w:rFonts w:ascii="Times New Roman" w:hAnsi="Times New Roman"/>
        </w:rPr>
        <w:t>coordinat</w:t>
      </w:r>
      <w:r w:rsidR="00B4332C">
        <w:rPr>
          <w:rFonts w:ascii="Times New Roman" w:hAnsi="Times New Roman"/>
        </w:rPr>
        <w:t>e</w:t>
      </w:r>
      <w:r w:rsidRPr="00F62E00">
        <w:rPr>
          <w:rFonts w:ascii="Times New Roman" w:hAnsi="Times New Roman"/>
        </w:rPr>
        <w:t xml:space="preserve"> the LTE and NR UL transmission to avoid collision.</w:t>
      </w:r>
    </w:p>
    <w:p w14:paraId="58E632C3" w14:textId="77777777" w:rsidR="00F62E00" w:rsidRDefault="00F62E00" w:rsidP="00ED4362">
      <w:pPr>
        <w:jc w:val="both"/>
        <w:rPr>
          <w:sz w:val="22"/>
          <w:szCs w:val="22"/>
        </w:rPr>
      </w:pPr>
    </w:p>
    <w:p w14:paraId="04E96BB2" w14:textId="5A3745EF" w:rsidR="009A34A1" w:rsidRDefault="00406F56" w:rsidP="00F62E00">
      <w:pPr>
        <w:jc w:val="both"/>
        <w:rPr>
          <w:sz w:val="22"/>
          <w:szCs w:val="22"/>
        </w:rPr>
      </w:pPr>
      <w:r>
        <w:rPr>
          <w:sz w:val="22"/>
          <w:szCs w:val="22"/>
        </w:rPr>
        <w:t xml:space="preserve">NR </w:t>
      </w:r>
      <w:r w:rsidR="003E1382">
        <w:rPr>
          <w:sz w:val="22"/>
          <w:szCs w:val="22"/>
        </w:rPr>
        <w:t>can already o</w:t>
      </w:r>
      <w:r>
        <w:rPr>
          <w:sz w:val="22"/>
          <w:szCs w:val="22"/>
        </w:rPr>
        <w:t>perate with restricted UL resource</w:t>
      </w:r>
      <w:r w:rsidR="00DF3772">
        <w:rPr>
          <w:sz w:val="22"/>
          <w:szCs w:val="22"/>
        </w:rPr>
        <w:t>s</w:t>
      </w:r>
      <w:r>
        <w:rPr>
          <w:sz w:val="22"/>
          <w:szCs w:val="22"/>
        </w:rPr>
        <w:t xml:space="preserve"> due to</w:t>
      </w:r>
      <w:r w:rsidR="00C10590">
        <w:rPr>
          <w:sz w:val="22"/>
          <w:szCs w:val="22"/>
        </w:rPr>
        <w:t xml:space="preserve"> its</w:t>
      </w:r>
      <w:r>
        <w:rPr>
          <w:sz w:val="22"/>
          <w:szCs w:val="22"/>
        </w:rPr>
        <w:t xml:space="preserve"> flexible design. </w:t>
      </w:r>
      <w:r w:rsidR="00DA69D3">
        <w:rPr>
          <w:sz w:val="22"/>
          <w:szCs w:val="22"/>
        </w:rPr>
        <w:t xml:space="preserve">For example, </w:t>
      </w:r>
      <w:r w:rsidR="008A2857" w:rsidRPr="003F60C0">
        <w:rPr>
          <w:sz w:val="22"/>
          <w:szCs w:val="22"/>
        </w:rPr>
        <w:t>NR support</w:t>
      </w:r>
      <w:r w:rsidR="00DA69D3">
        <w:rPr>
          <w:sz w:val="22"/>
          <w:szCs w:val="22"/>
        </w:rPr>
        <w:t>s</w:t>
      </w:r>
      <w:r w:rsidR="008A2857" w:rsidRPr="003F60C0">
        <w:rPr>
          <w:sz w:val="22"/>
          <w:szCs w:val="22"/>
        </w:rPr>
        <w:t xml:space="preserve"> asyn</w:t>
      </w:r>
      <w:r w:rsidR="003025A6">
        <w:rPr>
          <w:sz w:val="22"/>
          <w:szCs w:val="22"/>
        </w:rPr>
        <w:t xml:space="preserve">chronous DL </w:t>
      </w:r>
      <w:r w:rsidR="00F03002">
        <w:rPr>
          <w:sz w:val="22"/>
          <w:szCs w:val="22"/>
        </w:rPr>
        <w:t xml:space="preserve">and </w:t>
      </w:r>
      <w:r w:rsidR="005B5C93" w:rsidRPr="003F60C0">
        <w:rPr>
          <w:sz w:val="22"/>
          <w:szCs w:val="22"/>
        </w:rPr>
        <w:t>asyn</w:t>
      </w:r>
      <w:r w:rsidR="005B5C93">
        <w:rPr>
          <w:sz w:val="22"/>
          <w:szCs w:val="22"/>
        </w:rPr>
        <w:t xml:space="preserve">chronous </w:t>
      </w:r>
      <w:r w:rsidR="00F03002">
        <w:rPr>
          <w:sz w:val="22"/>
          <w:szCs w:val="22"/>
        </w:rPr>
        <w:t xml:space="preserve">UL operation, </w:t>
      </w:r>
      <w:r w:rsidR="008A2857" w:rsidRPr="003F60C0">
        <w:rPr>
          <w:sz w:val="22"/>
          <w:szCs w:val="22"/>
        </w:rPr>
        <w:t>scheduling and HARQ timing for bot</w:t>
      </w:r>
      <w:r w:rsidR="00EB5333" w:rsidRPr="003F60C0">
        <w:rPr>
          <w:sz w:val="22"/>
          <w:szCs w:val="22"/>
        </w:rPr>
        <w:t>h DL and UL</w:t>
      </w:r>
      <w:r w:rsidR="00F03002">
        <w:rPr>
          <w:sz w:val="22"/>
          <w:szCs w:val="22"/>
        </w:rPr>
        <w:t xml:space="preserve"> can be flexibly configured</w:t>
      </w:r>
      <w:r w:rsidR="008A2857" w:rsidRPr="003F60C0">
        <w:rPr>
          <w:sz w:val="22"/>
          <w:szCs w:val="22"/>
        </w:rPr>
        <w:t>. Furthermore, NR</w:t>
      </w:r>
      <w:r w:rsidR="006361C1" w:rsidRPr="003F60C0">
        <w:rPr>
          <w:sz w:val="22"/>
          <w:szCs w:val="22"/>
        </w:rPr>
        <w:t xml:space="preserve"> also support</w:t>
      </w:r>
      <w:r w:rsidR="00132312">
        <w:rPr>
          <w:sz w:val="22"/>
          <w:szCs w:val="22"/>
        </w:rPr>
        <w:t>s</w:t>
      </w:r>
      <w:r w:rsidR="006361C1" w:rsidRPr="003F60C0">
        <w:rPr>
          <w:sz w:val="22"/>
          <w:szCs w:val="22"/>
        </w:rPr>
        <w:t xml:space="preserve"> 2, 4 or 7 symbol min-slot</w:t>
      </w:r>
      <w:r w:rsidR="00132312">
        <w:rPr>
          <w:sz w:val="22"/>
          <w:szCs w:val="22"/>
        </w:rPr>
        <w:t xml:space="preserve"> operation</w:t>
      </w:r>
      <w:r w:rsidR="006361C1" w:rsidRPr="003F60C0">
        <w:rPr>
          <w:sz w:val="22"/>
          <w:szCs w:val="22"/>
        </w:rPr>
        <w:t xml:space="preserve">, </w:t>
      </w:r>
      <w:r w:rsidR="00132312">
        <w:rPr>
          <w:sz w:val="22"/>
          <w:szCs w:val="22"/>
        </w:rPr>
        <w:t>in addition to</w:t>
      </w:r>
      <w:r w:rsidR="006361C1" w:rsidRPr="003F60C0">
        <w:rPr>
          <w:sz w:val="22"/>
          <w:szCs w:val="22"/>
        </w:rPr>
        <w:t xml:space="preserve"> flexible PUCCH configurations, including short PUCCH (1-2 symbols) and long PUCCH (4-14 symbols). </w:t>
      </w:r>
      <w:r w:rsidR="009A34A1">
        <w:rPr>
          <w:sz w:val="22"/>
          <w:szCs w:val="22"/>
        </w:rPr>
        <w:t>Last but not the least</w:t>
      </w:r>
      <w:r w:rsidR="006361C1" w:rsidRPr="003F60C0">
        <w:rPr>
          <w:sz w:val="22"/>
          <w:szCs w:val="22"/>
        </w:rPr>
        <w:t xml:space="preserve">, </w:t>
      </w:r>
      <w:r w:rsidR="009A34A1">
        <w:rPr>
          <w:sz w:val="22"/>
          <w:szCs w:val="22"/>
        </w:rPr>
        <w:t xml:space="preserve">NR supports </w:t>
      </w:r>
      <w:r w:rsidR="006361C1" w:rsidRPr="003F60C0">
        <w:rPr>
          <w:sz w:val="22"/>
          <w:szCs w:val="22"/>
        </w:rPr>
        <w:t>scalable</w:t>
      </w:r>
      <w:r w:rsidR="005A1ED4">
        <w:rPr>
          <w:sz w:val="22"/>
          <w:szCs w:val="22"/>
        </w:rPr>
        <w:t xml:space="preserve"> numerology</w:t>
      </w:r>
      <w:r w:rsidR="006361C1" w:rsidRPr="003F60C0">
        <w:rPr>
          <w:sz w:val="22"/>
          <w:szCs w:val="22"/>
        </w:rPr>
        <w:t>.</w:t>
      </w:r>
      <w:r w:rsidR="00642DA2">
        <w:rPr>
          <w:sz w:val="22"/>
          <w:szCs w:val="22"/>
        </w:rPr>
        <w:t xml:space="preserve"> Therefore, it is feasible for NR to operate with limited UL resources. </w:t>
      </w:r>
    </w:p>
    <w:p w14:paraId="5306EF38" w14:textId="77777777" w:rsidR="009A34A1" w:rsidRDefault="009A34A1" w:rsidP="00F62E00">
      <w:pPr>
        <w:jc w:val="both"/>
        <w:rPr>
          <w:sz w:val="22"/>
          <w:szCs w:val="22"/>
        </w:rPr>
      </w:pPr>
    </w:p>
    <w:p w14:paraId="03AC0497" w14:textId="04A122BB" w:rsidR="003C2D10" w:rsidRDefault="009A34A1" w:rsidP="00F62E00">
      <w:pPr>
        <w:jc w:val="both"/>
        <w:rPr>
          <w:sz w:val="22"/>
          <w:szCs w:val="22"/>
        </w:rPr>
      </w:pPr>
      <w:r>
        <w:rPr>
          <w:sz w:val="22"/>
          <w:szCs w:val="22"/>
        </w:rPr>
        <w:t xml:space="preserve">On the other hand, LTE </w:t>
      </w:r>
      <w:r w:rsidR="000E7568">
        <w:rPr>
          <w:sz w:val="22"/>
          <w:szCs w:val="22"/>
        </w:rPr>
        <w:t>uses</w:t>
      </w:r>
      <w:r>
        <w:rPr>
          <w:sz w:val="22"/>
          <w:szCs w:val="22"/>
        </w:rPr>
        <w:t xml:space="preserve"> fixed HARQ feedback timing</w:t>
      </w:r>
      <w:r w:rsidR="002A7D92">
        <w:rPr>
          <w:sz w:val="22"/>
          <w:szCs w:val="22"/>
        </w:rPr>
        <w:t>, and</w:t>
      </w:r>
      <w:r w:rsidR="00ED0158">
        <w:rPr>
          <w:sz w:val="22"/>
          <w:szCs w:val="22"/>
        </w:rPr>
        <w:t xml:space="preserve"> synchronous UL operation</w:t>
      </w:r>
      <w:r w:rsidR="002A7D92">
        <w:rPr>
          <w:sz w:val="22"/>
          <w:szCs w:val="22"/>
        </w:rPr>
        <w:t xml:space="preserve">. </w:t>
      </w:r>
      <w:r w:rsidR="009E1CA5">
        <w:rPr>
          <w:sz w:val="22"/>
          <w:szCs w:val="22"/>
        </w:rPr>
        <w:t>As results, it is more challenging to</w:t>
      </w:r>
      <w:r w:rsidR="0007330B">
        <w:rPr>
          <w:sz w:val="22"/>
          <w:szCs w:val="22"/>
        </w:rPr>
        <w:t xml:space="preserve"> design Single Tx Switch</w:t>
      </w:r>
      <w:r w:rsidR="005A1ED4">
        <w:rPr>
          <w:sz w:val="22"/>
          <w:szCs w:val="22"/>
        </w:rPr>
        <w:t>ed</w:t>
      </w:r>
      <w:r w:rsidR="0007330B">
        <w:rPr>
          <w:sz w:val="22"/>
          <w:szCs w:val="22"/>
        </w:rPr>
        <w:t xml:space="preserve"> UL operation for LTE. </w:t>
      </w:r>
      <w:r w:rsidR="004C73F2">
        <w:rPr>
          <w:sz w:val="22"/>
          <w:szCs w:val="22"/>
        </w:rPr>
        <w:t xml:space="preserve">Hence, it is important to design the semi-static TDM UL resource partition between LTE and NR such that LTE </w:t>
      </w:r>
      <w:r w:rsidR="003C2D10">
        <w:rPr>
          <w:sz w:val="22"/>
          <w:szCs w:val="22"/>
        </w:rPr>
        <w:t xml:space="preserve">DL and UL </w:t>
      </w:r>
      <w:r w:rsidR="00136C9E">
        <w:rPr>
          <w:sz w:val="22"/>
          <w:szCs w:val="22"/>
        </w:rPr>
        <w:t xml:space="preserve">HARQ </w:t>
      </w:r>
      <w:r w:rsidR="003C2D10">
        <w:rPr>
          <w:sz w:val="22"/>
          <w:szCs w:val="22"/>
        </w:rPr>
        <w:t xml:space="preserve">operations are not </w:t>
      </w:r>
      <w:r w:rsidR="00AC372C">
        <w:rPr>
          <w:sz w:val="22"/>
          <w:szCs w:val="22"/>
        </w:rPr>
        <w:t>restricted</w:t>
      </w:r>
      <w:r w:rsidR="003C2D10">
        <w:rPr>
          <w:sz w:val="22"/>
          <w:szCs w:val="22"/>
        </w:rPr>
        <w:t>.</w:t>
      </w:r>
    </w:p>
    <w:p w14:paraId="11536319" w14:textId="77777777" w:rsidR="003C2D10" w:rsidRDefault="003C2D10" w:rsidP="00F62E00">
      <w:pPr>
        <w:jc w:val="both"/>
        <w:rPr>
          <w:sz w:val="22"/>
          <w:szCs w:val="22"/>
        </w:rPr>
      </w:pPr>
    </w:p>
    <w:p w14:paraId="1919AB50" w14:textId="36215A93" w:rsidR="00ED4362" w:rsidRDefault="00AF4406" w:rsidP="00ED4362">
      <w:pPr>
        <w:jc w:val="both"/>
        <w:rPr>
          <w:sz w:val="22"/>
          <w:szCs w:val="22"/>
        </w:rPr>
      </w:pPr>
      <w:r>
        <w:rPr>
          <w:sz w:val="22"/>
          <w:szCs w:val="22"/>
        </w:rPr>
        <w:t xml:space="preserve">The Single Tx Switched UL design should cover </w:t>
      </w:r>
      <w:r w:rsidR="0007330B">
        <w:rPr>
          <w:sz w:val="22"/>
          <w:szCs w:val="22"/>
        </w:rPr>
        <w:t xml:space="preserve">both </w:t>
      </w:r>
      <w:r w:rsidR="00F03F7A">
        <w:rPr>
          <w:sz w:val="22"/>
          <w:szCs w:val="22"/>
        </w:rPr>
        <w:t xml:space="preserve">the case of LTE TDD PCell and LTE FDD PCell. </w:t>
      </w:r>
      <w:r w:rsidR="0007330B">
        <w:rPr>
          <w:sz w:val="22"/>
          <w:szCs w:val="22"/>
        </w:rPr>
        <w:t xml:space="preserve">So far, RAN1 Single Tx Switched UL design mainly focused on the FDD case, i.e. </w:t>
      </w:r>
      <w:r w:rsidR="00576627">
        <w:rPr>
          <w:sz w:val="22"/>
          <w:szCs w:val="22"/>
        </w:rPr>
        <w:t xml:space="preserve">LTE </w:t>
      </w:r>
      <w:r w:rsidR="0006157B">
        <w:rPr>
          <w:sz w:val="22"/>
          <w:szCs w:val="22"/>
        </w:rPr>
        <w:t>FDD PCell</w:t>
      </w:r>
      <w:r w:rsidR="0007330B">
        <w:rPr>
          <w:sz w:val="22"/>
          <w:szCs w:val="22"/>
        </w:rPr>
        <w:t xml:space="preserve">. </w:t>
      </w:r>
      <w:r w:rsidR="00ED4362" w:rsidRPr="00DF54FD">
        <w:rPr>
          <w:sz w:val="22"/>
          <w:szCs w:val="22"/>
        </w:rPr>
        <w:t>In 3GPP RAN1#90 in August</w:t>
      </w:r>
      <w:r w:rsidR="00F21B4A" w:rsidRPr="00DF54FD">
        <w:rPr>
          <w:sz w:val="22"/>
          <w:szCs w:val="22"/>
        </w:rPr>
        <w:t xml:space="preserve"> [7</w:t>
      </w:r>
      <w:r w:rsidR="00ED4362" w:rsidRPr="00DF54FD">
        <w:rPr>
          <w:sz w:val="22"/>
          <w:szCs w:val="22"/>
        </w:rPr>
        <w:t xml:space="preserve">], specific TDM patterns were agreed to enable the single </w:t>
      </w:r>
      <w:r w:rsidR="001752FA">
        <w:rPr>
          <w:sz w:val="22"/>
          <w:szCs w:val="22"/>
        </w:rPr>
        <w:t>Tx</w:t>
      </w:r>
      <w:r w:rsidR="00ED4362" w:rsidRPr="00DF54FD">
        <w:rPr>
          <w:sz w:val="22"/>
          <w:szCs w:val="22"/>
        </w:rPr>
        <w:t xml:space="preserve"> operation</w:t>
      </w:r>
      <w:r w:rsidR="00BB34B4">
        <w:rPr>
          <w:sz w:val="22"/>
          <w:szCs w:val="22"/>
        </w:rPr>
        <w:t xml:space="preserve"> for LTE FDD PCell</w:t>
      </w:r>
      <w:r w:rsidR="00ED4362" w:rsidRPr="00DF54FD">
        <w:rPr>
          <w:sz w:val="22"/>
          <w:szCs w:val="22"/>
        </w:rPr>
        <w:t>:</w:t>
      </w:r>
    </w:p>
    <w:p w14:paraId="08D58FEB" w14:textId="77777777" w:rsidR="0007330B" w:rsidRPr="00DF54FD" w:rsidRDefault="0007330B" w:rsidP="00ED4362">
      <w:pPr>
        <w:jc w:val="both"/>
        <w:rPr>
          <w:sz w:val="22"/>
          <w:szCs w:val="22"/>
        </w:rPr>
      </w:pPr>
    </w:p>
    <w:tbl>
      <w:tblPr>
        <w:tblStyle w:val="TableGrid"/>
        <w:tblW w:w="0" w:type="auto"/>
        <w:tblLook w:val="04A0" w:firstRow="1" w:lastRow="0" w:firstColumn="1" w:lastColumn="0" w:noHBand="0" w:noVBand="1"/>
      </w:tblPr>
      <w:tblGrid>
        <w:gridCol w:w="9855"/>
      </w:tblGrid>
      <w:tr w:rsidR="00ED4362" w:rsidRPr="00DF54FD" w14:paraId="35A6C91C" w14:textId="77777777" w:rsidTr="00664A3A">
        <w:tc>
          <w:tcPr>
            <w:tcW w:w="9855" w:type="dxa"/>
          </w:tcPr>
          <w:p w14:paraId="08CDE8B8" w14:textId="77777777" w:rsidR="00ED4362" w:rsidRPr="00DF54FD" w:rsidRDefault="00ED4362" w:rsidP="00664A3A">
            <w:pPr>
              <w:rPr>
                <w:rFonts w:eastAsia="MS Mincho"/>
                <w:sz w:val="22"/>
                <w:szCs w:val="22"/>
                <w:highlight w:val="darkYellow"/>
                <w:lang w:eastAsia="ja-JP"/>
              </w:rPr>
            </w:pPr>
            <w:r w:rsidRPr="00DF54FD">
              <w:rPr>
                <w:rFonts w:eastAsia="MS Mincho"/>
                <w:sz w:val="22"/>
                <w:szCs w:val="22"/>
                <w:highlight w:val="green"/>
                <w:lang w:eastAsia="ja-JP"/>
              </w:rPr>
              <w:t>Agreements</w:t>
            </w:r>
            <w:r w:rsidRPr="00DF54FD">
              <w:rPr>
                <w:rFonts w:eastAsia="MS Mincho"/>
                <w:sz w:val="22"/>
                <w:szCs w:val="22"/>
                <w:lang w:eastAsia="ja-JP"/>
              </w:rPr>
              <w:t>:</w:t>
            </w:r>
          </w:p>
          <w:p w14:paraId="5E65875A" w14:textId="77777777" w:rsidR="00ED4362" w:rsidRPr="00DF54FD" w:rsidRDefault="00ED4362" w:rsidP="00447607">
            <w:pPr>
              <w:numPr>
                <w:ilvl w:val="0"/>
                <w:numId w:val="11"/>
              </w:numPr>
              <w:tabs>
                <w:tab w:val="left" w:pos="1440"/>
              </w:tabs>
              <w:rPr>
                <w:rFonts w:eastAsia="MS Mincho"/>
                <w:sz w:val="22"/>
                <w:szCs w:val="22"/>
                <w:lang w:eastAsia="ja-JP"/>
              </w:rPr>
            </w:pPr>
            <w:r w:rsidRPr="00DF54FD">
              <w:rPr>
                <w:rFonts w:eastAsia="MS Mincho"/>
                <w:sz w:val="22"/>
                <w:szCs w:val="22"/>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78065D7C" w14:textId="77777777" w:rsidR="00ED4362" w:rsidRPr="00DF54FD" w:rsidRDefault="00ED4362" w:rsidP="00447607">
            <w:pPr>
              <w:numPr>
                <w:ilvl w:val="1"/>
                <w:numId w:val="11"/>
              </w:numPr>
              <w:rPr>
                <w:rFonts w:eastAsia="MS Mincho"/>
                <w:sz w:val="22"/>
                <w:szCs w:val="22"/>
                <w:lang w:eastAsia="ja-JP"/>
              </w:rPr>
            </w:pPr>
            <w:r w:rsidRPr="00DF54FD">
              <w:rPr>
                <w:rFonts w:eastAsia="MS Mincho"/>
                <w:sz w:val="22"/>
                <w:szCs w:val="22"/>
                <w:lang w:eastAsia="ja-JP"/>
              </w:rPr>
              <w:t xml:space="preserve">For LTE carrier, UE can be configured with </w:t>
            </w:r>
          </w:p>
          <w:p w14:paraId="273D5D6D" w14:textId="77777777" w:rsidR="00ED4362" w:rsidRPr="00DF54FD" w:rsidRDefault="00ED4362" w:rsidP="00447607">
            <w:pPr>
              <w:numPr>
                <w:ilvl w:val="2"/>
                <w:numId w:val="11"/>
              </w:numPr>
              <w:tabs>
                <w:tab w:val="left" w:pos="1440"/>
              </w:tabs>
              <w:rPr>
                <w:rFonts w:eastAsia="MS Mincho"/>
                <w:sz w:val="22"/>
                <w:szCs w:val="22"/>
                <w:lang w:eastAsia="ja-JP"/>
              </w:rPr>
            </w:pPr>
            <w:r w:rsidRPr="00DF54FD">
              <w:rPr>
                <w:rFonts w:eastAsia="MS Mincho"/>
                <w:sz w:val="22"/>
                <w:szCs w:val="22"/>
                <w:lang w:eastAsia="ja-JP"/>
              </w:rPr>
              <w:t xml:space="preserve">Case 1: DL-reference UL/DL configuration defined for LTE-FDD-SCell in LTE-TDD-FDD CA with LTE-TDD-PCell </w:t>
            </w:r>
          </w:p>
          <w:p w14:paraId="7835F057" w14:textId="77777777" w:rsidR="00ED4362" w:rsidRPr="00DF54FD" w:rsidRDefault="00ED4362" w:rsidP="00447607">
            <w:pPr>
              <w:numPr>
                <w:ilvl w:val="3"/>
                <w:numId w:val="11"/>
              </w:numPr>
              <w:tabs>
                <w:tab w:val="left" w:pos="1440"/>
              </w:tabs>
              <w:rPr>
                <w:rFonts w:eastAsia="MS Mincho"/>
                <w:sz w:val="22"/>
                <w:szCs w:val="22"/>
                <w:lang w:eastAsia="ja-JP"/>
              </w:rPr>
            </w:pPr>
            <w:r w:rsidRPr="00DF54FD">
              <w:rPr>
                <w:rFonts w:eastAsia="MS Mincho"/>
                <w:sz w:val="22"/>
                <w:szCs w:val="22"/>
                <w:lang w:eastAsia="ja-JP"/>
              </w:rPr>
              <w:t xml:space="preserve">For scheduling/HARQ timing of LTE FDD carrier, DL-reference UL/DL configuration defined for LTE-FDD-SCell in LTE-TDD-FDD CA with </w:t>
            </w:r>
            <w:r w:rsidRPr="00DF54FD">
              <w:rPr>
                <w:rFonts w:eastAsia="MS Mincho"/>
                <w:sz w:val="22"/>
                <w:szCs w:val="22"/>
                <w:lang w:eastAsia="ja-JP"/>
              </w:rPr>
              <w:lastRenderedPageBreak/>
              <w:t>LTE-TDD-PCell is applied</w:t>
            </w:r>
          </w:p>
          <w:p w14:paraId="48524054" w14:textId="77777777" w:rsidR="00ED4362" w:rsidRPr="00DF54FD" w:rsidRDefault="00ED4362" w:rsidP="00447607">
            <w:pPr>
              <w:numPr>
                <w:ilvl w:val="3"/>
                <w:numId w:val="11"/>
              </w:numPr>
              <w:tabs>
                <w:tab w:val="left" w:pos="1440"/>
              </w:tabs>
              <w:rPr>
                <w:rFonts w:eastAsia="MS Mincho"/>
                <w:sz w:val="22"/>
                <w:szCs w:val="22"/>
                <w:lang w:eastAsia="ja-JP"/>
              </w:rPr>
            </w:pPr>
            <w:r w:rsidRPr="00DF54FD">
              <w:rPr>
                <w:rFonts w:eastAsia="MS Mincho"/>
                <w:sz w:val="22"/>
                <w:szCs w:val="22"/>
                <w:lang w:eastAsia="ja-JP"/>
              </w:rPr>
              <w:t>UE is allowed to transmit NR UL signals at least in the subframe(s) where LTE UL transmission is not allowed according to the DL-reference UL/DL configuration</w:t>
            </w:r>
          </w:p>
          <w:p w14:paraId="167AA0C6" w14:textId="77777777" w:rsidR="00ED4362" w:rsidRPr="00DF54FD" w:rsidRDefault="00ED4362" w:rsidP="00447607">
            <w:pPr>
              <w:numPr>
                <w:ilvl w:val="3"/>
                <w:numId w:val="11"/>
              </w:numPr>
              <w:tabs>
                <w:tab w:val="left" w:pos="1440"/>
              </w:tabs>
              <w:rPr>
                <w:rFonts w:eastAsia="MS Mincho"/>
                <w:sz w:val="22"/>
                <w:szCs w:val="22"/>
                <w:lang w:eastAsia="ja-JP"/>
              </w:rPr>
            </w:pPr>
            <w:r w:rsidRPr="00DF54FD">
              <w:rPr>
                <w:rFonts w:eastAsia="MS Mincho"/>
                <w:sz w:val="22"/>
                <w:szCs w:val="22"/>
                <w:lang w:eastAsia="ja-JP"/>
              </w:rPr>
              <w:t>FFS whether or not a UE-specific subframe offset for the DL-reference UL/DL configuration can be configured considering system resource utilization and potential spec impact</w:t>
            </w:r>
          </w:p>
          <w:p w14:paraId="79767FA1" w14:textId="77777777" w:rsidR="00ED4362" w:rsidRPr="00DF54FD" w:rsidRDefault="00ED4362" w:rsidP="00447607">
            <w:pPr>
              <w:numPr>
                <w:ilvl w:val="2"/>
                <w:numId w:val="11"/>
              </w:numPr>
              <w:tabs>
                <w:tab w:val="left" w:pos="1440"/>
              </w:tabs>
              <w:rPr>
                <w:rFonts w:eastAsia="MS Mincho"/>
                <w:sz w:val="22"/>
                <w:szCs w:val="22"/>
                <w:lang w:eastAsia="ja-JP"/>
              </w:rPr>
            </w:pPr>
            <w:r w:rsidRPr="00DF54FD">
              <w:rPr>
                <w:rFonts w:eastAsia="MS Mincho"/>
                <w:sz w:val="22"/>
                <w:szCs w:val="22"/>
                <w:lang w:eastAsia="ja-JP"/>
              </w:rPr>
              <w:t>Case 2: Release 15 LTE-FDD HARQ timing</w:t>
            </w:r>
          </w:p>
          <w:p w14:paraId="520B2A10" w14:textId="77777777" w:rsidR="00ED4362" w:rsidRPr="00DF54FD" w:rsidRDefault="00ED4362" w:rsidP="00447607">
            <w:pPr>
              <w:numPr>
                <w:ilvl w:val="3"/>
                <w:numId w:val="11"/>
              </w:numPr>
              <w:tabs>
                <w:tab w:val="left" w:pos="1440"/>
              </w:tabs>
              <w:rPr>
                <w:rFonts w:eastAsia="MS Mincho"/>
                <w:sz w:val="22"/>
                <w:szCs w:val="22"/>
                <w:lang w:eastAsia="ja-JP"/>
              </w:rPr>
            </w:pPr>
            <w:r w:rsidRPr="00DF54FD">
              <w:rPr>
                <w:rFonts w:eastAsia="MS Mincho"/>
                <w:sz w:val="22"/>
                <w:szCs w:val="22"/>
                <w:lang w:eastAsia="ja-JP"/>
              </w:rPr>
              <w:t>No impact on LTE RAN1 specifications</w:t>
            </w:r>
          </w:p>
          <w:p w14:paraId="11599B48" w14:textId="77777777" w:rsidR="00ED4362" w:rsidRPr="00DF54FD" w:rsidRDefault="00ED4362" w:rsidP="00447607">
            <w:pPr>
              <w:numPr>
                <w:ilvl w:val="2"/>
                <w:numId w:val="11"/>
              </w:numPr>
              <w:tabs>
                <w:tab w:val="left" w:pos="1440"/>
              </w:tabs>
              <w:rPr>
                <w:rFonts w:eastAsia="MS Mincho"/>
                <w:sz w:val="22"/>
                <w:szCs w:val="22"/>
                <w:lang w:eastAsia="ja-JP"/>
              </w:rPr>
            </w:pPr>
            <w:r w:rsidRPr="00DF54FD">
              <w:rPr>
                <w:rFonts w:eastAsia="MS Mincho"/>
                <w:sz w:val="22"/>
                <w:szCs w:val="22"/>
                <w:lang w:eastAsia="ja-JP"/>
              </w:rPr>
              <w:t>Note: it doesn’t necessarily imply that UE has to support both cases</w:t>
            </w:r>
          </w:p>
        </w:tc>
      </w:tr>
    </w:tbl>
    <w:p w14:paraId="5A7E1A9A" w14:textId="77777777" w:rsidR="00ED4362" w:rsidRPr="00DF54FD" w:rsidRDefault="00ED4362" w:rsidP="00ED4362">
      <w:pPr>
        <w:jc w:val="both"/>
        <w:rPr>
          <w:sz w:val="22"/>
          <w:szCs w:val="22"/>
        </w:rPr>
      </w:pPr>
    </w:p>
    <w:p w14:paraId="6E73F86A" w14:textId="77777777" w:rsidR="008D57F4" w:rsidRDefault="008D57F4" w:rsidP="00ED4362">
      <w:pPr>
        <w:jc w:val="both"/>
        <w:rPr>
          <w:sz w:val="22"/>
          <w:szCs w:val="22"/>
        </w:rPr>
      </w:pPr>
    </w:p>
    <w:p w14:paraId="73AFE818" w14:textId="4A65FD78" w:rsidR="00D84E09" w:rsidRDefault="008B64C4" w:rsidP="00ED4362">
      <w:pPr>
        <w:jc w:val="both"/>
        <w:rPr>
          <w:sz w:val="22"/>
          <w:szCs w:val="22"/>
        </w:rPr>
      </w:pPr>
      <w:r>
        <w:rPr>
          <w:sz w:val="22"/>
          <w:szCs w:val="22"/>
        </w:rPr>
        <w:t xml:space="preserve">Case 1 represents a semi-static </w:t>
      </w:r>
      <w:r w:rsidR="00D031AD">
        <w:rPr>
          <w:sz w:val="22"/>
          <w:szCs w:val="22"/>
        </w:rPr>
        <w:t xml:space="preserve">TDM </w:t>
      </w:r>
      <w:r>
        <w:rPr>
          <w:sz w:val="22"/>
          <w:szCs w:val="22"/>
        </w:rPr>
        <w:t xml:space="preserve">UL resources partition between LTE and NR </w:t>
      </w:r>
      <w:r w:rsidR="00DA496C">
        <w:rPr>
          <w:sz w:val="22"/>
          <w:szCs w:val="22"/>
        </w:rPr>
        <w:t>with</w:t>
      </w:r>
      <w:r>
        <w:rPr>
          <w:sz w:val="22"/>
          <w:szCs w:val="22"/>
        </w:rPr>
        <w:t xml:space="preserve"> </w:t>
      </w:r>
      <w:r w:rsidR="00D10A26">
        <w:rPr>
          <w:sz w:val="22"/>
          <w:szCs w:val="22"/>
        </w:rPr>
        <w:t>no</w:t>
      </w:r>
      <w:r>
        <w:rPr>
          <w:sz w:val="22"/>
          <w:szCs w:val="22"/>
        </w:rPr>
        <w:t xml:space="preserve"> </w:t>
      </w:r>
      <w:r w:rsidR="00DA496C">
        <w:rPr>
          <w:sz w:val="22"/>
          <w:szCs w:val="22"/>
        </w:rPr>
        <w:t>restrictions</w:t>
      </w:r>
      <w:r>
        <w:rPr>
          <w:sz w:val="22"/>
          <w:szCs w:val="22"/>
        </w:rPr>
        <w:t xml:space="preserve"> on DL scheduling, compared to Case 2</w:t>
      </w:r>
      <w:r w:rsidR="00127A52">
        <w:rPr>
          <w:sz w:val="22"/>
          <w:szCs w:val="22"/>
        </w:rPr>
        <w:t xml:space="preserve"> for LTE in FDD band</w:t>
      </w:r>
      <w:r>
        <w:rPr>
          <w:sz w:val="22"/>
          <w:szCs w:val="22"/>
        </w:rPr>
        <w:t xml:space="preserve">. </w:t>
      </w:r>
      <w:r w:rsidR="00127A52">
        <w:rPr>
          <w:sz w:val="22"/>
          <w:szCs w:val="22"/>
        </w:rPr>
        <w:t xml:space="preserve">The main idea is to use the TDD HARQ timing </w:t>
      </w:r>
      <w:r w:rsidR="00FA0638">
        <w:rPr>
          <w:sz w:val="22"/>
          <w:szCs w:val="22"/>
        </w:rPr>
        <w:t>that</w:t>
      </w:r>
      <w:r w:rsidR="00127A52">
        <w:rPr>
          <w:sz w:val="22"/>
          <w:szCs w:val="22"/>
        </w:rPr>
        <w:t xml:space="preserve"> requires only a </w:t>
      </w:r>
      <w:r w:rsidR="00D84E09">
        <w:rPr>
          <w:sz w:val="22"/>
          <w:szCs w:val="22"/>
        </w:rPr>
        <w:t>restricted sub</w:t>
      </w:r>
      <w:r w:rsidR="00296FD7">
        <w:rPr>
          <w:sz w:val="22"/>
          <w:szCs w:val="22"/>
        </w:rPr>
        <w:t>s</w:t>
      </w:r>
      <w:r w:rsidR="00D84E09">
        <w:rPr>
          <w:sz w:val="22"/>
          <w:szCs w:val="22"/>
        </w:rPr>
        <w:t xml:space="preserve">et of all FDD UL subframes/slot, which is already </w:t>
      </w:r>
      <w:r w:rsidR="004865E7">
        <w:rPr>
          <w:sz w:val="22"/>
          <w:szCs w:val="22"/>
        </w:rPr>
        <w:t>supported</w:t>
      </w:r>
      <w:r w:rsidR="00D84E09">
        <w:rPr>
          <w:sz w:val="22"/>
          <w:szCs w:val="22"/>
        </w:rPr>
        <w:t xml:space="preserve"> in LTE for LTE TDD-FDD CA.</w:t>
      </w:r>
    </w:p>
    <w:p w14:paraId="73149A7F" w14:textId="77777777" w:rsidR="00D84E09" w:rsidRDefault="00D84E09" w:rsidP="00ED4362">
      <w:pPr>
        <w:jc w:val="both"/>
        <w:rPr>
          <w:sz w:val="22"/>
          <w:szCs w:val="22"/>
        </w:rPr>
      </w:pPr>
    </w:p>
    <w:p w14:paraId="66EB5F15" w14:textId="77777777" w:rsidR="003B5BE1" w:rsidRDefault="00A4224F" w:rsidP="00ED4362">
      <w:pPr>
        <w:jc w:val="both"/>
        <w:rPr>
          <w:sz w:val="22"/>
          <w:szCs w:val="22"/>
        </w:rPr>
      </w:pPr>
      <w:r>
        <w:rPr>
          <w:sz w:val="22"/>
          <w:szCs w:val="22"/>
        </w:rPr>
        <w:t>In the last RAN4 #86bis meeting [8], band 4</w:t>
      </w:r>
      <w:r w:rsidR="003B5BE1">
        <w:rPr>
          <w:sz w:val="22"/>
          <w:szCs w:val="22"/>
        </w:rPr>
        <w:t>1 (TDD band) was agreed to allow Single Tx Switch UL operation for EN-DC deployment,</w:t>
      </w:r>
    </w:p>
    <w:p w14:paraId="47AFE520" w14:textId="77777777" w:rsidR="003B5BE1" w:rsidRDefault="003B5BE1" w:rsidP="00ED4362">
      <w:pPr>
        <w:jc w:val="both"/>
        <w:rPr>
          <w:sz w:val="22"/>
          <w:szCs w:val="22"/>
        </w:rPr>
      </w:pPr>
    </w:p>
    <w:tbl>
      <w:tblPr>
        <w:tblStyle w:val="TableGrid"/>
        <w:tblW w:w="0" w:type="auto"/>
        <w:tblLook w:val="04A0" w:firstRow="1" w:lastRow="0" w:firstColumn="1" w:lastColumn="0" w:noHBand="0" w:noVBand="1"/>
      </w:tblPr>
      <w:tblGrid>
        <w:gridCol w:w="9855"/>
      </w:tblGrid>
      <w:tr w:rsidR="00BF2925" w14:paraId="130561AB" w14:textId="77777777" w:rsidTr="00BF2925">
        <w:tc>
          <w:tcPr>
            <w:tcW w:w="9855" w:type="dxa"/>
          </w:tcPr>
          <w:p w14:paraId="08786C8E" w14:textId="77777777" w:rsidR="009B064B" w:rsidRPr="00BF2925" w:rsidRDefault="009B064B" w:rsidP="00BF2925">
            <w:pPr>
              <w:numPr>
                <w:ilvl w:val="0"/>
                <w:numId w:val="30"/>
              </w:numPr>
              <w:jc w:val="both"/>
              <w:rPr>
                <w:sz w:val="22"/>
                <w:szCs w:val="22"/>
              </w:rPr>
            </w:pPr>
            <w:r w:rsidRPr="00BF2925">
              <w:rPr>
                <w:sz w:val="22"/>
                <w:szCs w:val="22"/>
              </w:rPr>
              <w:t>Single Switched UL is allowed</w:t>
            </w:r>
          </w:p>
          <w:p w14:paraId="0EE93963" w14:textId="77777777" w:rsidR="009B064B" w:rsidRPr="00BF2925" w:rsidRDefault="009B064B" w:rsidP="00BF2925">
            <w:pPr>
              <w:numPr>
                <w:ilvl w:val="1"/>
                <w:numId w:val="30"/>
              </w:numPr>
              <w:jc w:val="both"/>
              <w:rPr>
                <w:sz w:val="22"/>
                <w:szCs w:val="22"/>
              </w:rPr>
            </w:pPr>
            <w:r w:rsidRPr="00BF2925">
              <w:rPr>
                <w:sz w:val="22"/>
                <w:szCs w:val="22"/>
              </w:rPr>
              <w:t xml:space="preserve">Multiple Options for TDM – RAN4 may have specific requirements for these options. </w:t>
            </w:r>
          </w:p>
          <w:p w14:paraId="244B4E7A" w14:textId="77777777" w:rsidR="009B064B" w:rsidRPr="00BF2925" w:rsidRDefault="009B064B" w:rsidP="00BF2925">
            <w:pPr>
              <w:numPr>
                <w:ilvl w:val="2"/>
                <w:numId w:val="30"/>
              </w:numPr>
              <w:jc w:val="both"/>
              <w:rPr>
                <w:sz w:val="22"/>
                <w:szCs w:val="22"/>
              </w:rPr>
            </w:pPr>
            <w:r w:rsidRPr="00BF2925">
              <w:rPr>
                <w:sz w:val="22"/>
                <w:szCs w:val="22"/>
              </w:rPr>
              <w:t>Option 1: UL TDM pattern as per R4-1805323</w:t>
            </w:r>
          </w:p>
          <w:p w14:paraId="780E6B0B" w14:textId="77777777" w:rsidR="009B064B" w:rsidRPr="00BF2925" w:rsidRDefault="009B064B" w:rsidP="00BF2925">
            <w:pPr>
              <w:numPr>
                <w:ilvl w:val="2"/>
                <w:numId w:val="30"/>
              </w:numPr>
              <w:jc w:val="both"/>
              <w:rPr>
                <w:sz w:val="22"/>
                <w:szCs w:val="22"/>
              </w:rPr>
            </w:pPr>
            <w:r w:rsidRPr="00BF2925">
              <w:rPr>
                <w:sz w:val="22"/>
                <w:szCs w:val="22"/>
              </w:rPr>
              <w:t>Option 2: UL TDM based on LTE eIMTA framework, to reserve subset of the available UL subframes for LTE.</w:t>
            </w:r>
          </w:p>
          <w:p w14:paraId="5C2D8532" w14:textId="77777777" w:rsidR="009B064B" w:rsidRPr="00BF2925" w:rsidRDefault="009B064B" w:rsidP="00BF2925">
            <w:pPr>
              <w:numPr>
                <w:ilvl w:val="2"/>
                <w:numId w:val="30"/>
              </w:numPr>
              <w:jc w:val="both"/>
              <w:rPr>
                <w:sz w:val="22"/>
                <w:szCs w:val="22"/>
              </w:rPr>
            </w:pPr>
            <w:r w:rsidRPr="00BF2925">
              <w:rPr>
                <w:sz w:val="22"/>
                <w:szCs w:val="22"/>
              </w:rPr>
              <w:t>Option 3: Dynamic UL TDM</w:t>
            </w:r>
          </w:p>
          <w:p w14:paraId="595BC746" w14:textId="77777777" w:rsidR="009B064B" w:rsidRPr="00BF2925" w:rsidRDefault="009B064B" w:rsidP="00BF2925">
            <w:pPr>
              <w:numPr>
                <w:ilvl w:val="2"/>
                <w:numId w:val="30"/>
              </w:numPr>
              <w:jc w:val="both"/>
              <w:rPr>
                <w:sz w:val="22"/>
                <w:szCs w:val="22"/>
              </w:rPr>
            </w:pPr>
            <w:r w:rsidRPr="00BF2925">
              <w:rPr>
                <w:sz w:val="22"/>
                <w:szCs w:val="22"/>
              </w:rPr>
              <w:t>Other options are not precluded.</w:t>
            </w:r>
          </w:p>
          <w:p w14:paraId="30F8A8CA" w14:textId="0701B623" w:rsidR="009B064B" w:rsidRPr="00BF2925" w:rsidRDefault="009B064B" w:rsidP="00BF2925">
            <w:pPr>
              <w:numPr>
                <w:ilvl w:val="1"/>
                <w:numId w:val="30"/>
              </w:numPr>
              <w:jc w:val="both"/>
              <w:rPr>
                <w:sz w:val="22"/>
                <w:szCs w:val="22"/>
              </w:rPr>
            </w:pPr>
            <w:r w:rsidRPr="00BF2925">
              <w:rPr>
                <w:sz w:val="22"/>
                <w:szCs w:val="22"/>
              </w:rPr>
              <w:t>As a per-BC UE capability, UE may signal support for SUO for a given EN-DC band combination. If dual transmission is scheduled instead of single switched uplink,</w:t>
            </w:r>
            <w:r w:rsidR="0062428A">
              <w:rPr>
                <w:sz w:val="22"/>
                <w:szCs w:val="22"/>
              </w:rPr>
              <w:t xml:space="preserve"> </w:t>
            </w:r>
            <w:r w:rsidRPr="00BF2925">
              <w:rPr>
                <w:sz w:val="22"/>
                <w:szCs w:val="22"/>
              </w:rPr>
              <w:t>UE behavior is unspecified.</w:t>
            </w:r>
          </w:p>
          <w:p w14:paraId="5CB47BFC" w14:textId="1F5761B9" w:rsidR="00BF2925" w:rsidRPr="00BF2925" w:rsidRDefault="009B064B" w:rsidP="00ED4362">
            <w:pPr>
              <w:numPr>
                <w:ilvl w:val="1"/>
                <w:numId w:val="30"/>
              </w:numPr>
              <w:jc w:val="both"/>
              <w:rPr>
                <w:sz w:val="22"/>
                <w:szCs w:val="22"/>
              </w:rPr>
            </w:pPr>
            <w:r w:rsidRPr="00BF2925">
              <w:rPr>
                <w:sz w:val="22"/>
                <w:szCs w:val="22"/>
              </w:rPr>
              <w:t>No additional signaling required</w:t>
            </w:r>
          </w:p>
        </w:tc>
      </w:tr>
    </w:tbl>
    <w:p w14:paraId="1336E0BE" w14:textId="77777777" w:rsidR="00A4224F" w:rsidRDefault="00A4224F" w:rsidP="00ED4362">
      <w:pPr>
        <w:jc w:val="both"/>
        <w:rPr>
          <w:sz w:val="22"/>
          <w:szCs w:val="22"/>
        </w:rPr>
      </w:pPr>
    </w:p>
    <w:p w14:paraId="2AB530D8" w14:textId="748AF14D" w:rsidR="00D84E09" w:rsidRDefault="00E665EC" w:rsidP="00ED4362">
      <w:pPr>
        <w:jc w:val="both"/>
        <w:rPr>
          <w:sz w:val="22"/>
          <w:szCs w:val="22"/>
        </w:rPr>
      </w:pPr>
      <w:r w:rsidRPr="00C06082">
        <w:rPr>
          <w:sz w:val="22"/>
          <w:szCs w:val="22"/>
        </w:rPr>
        <w:t>However, Single Tx Switched UL operation for EN-DC in LTE TDD band is not discussed or design</w:t>
      </w:r>
      <w:r w:rsidR="00F650BF" w:rsidRPr="00C06082">
        <w:rPr>
          <w:sz w:val="22"/>
          <w:szCs w:val="22"/>
        </w:rPr>
        <w:t>ed</w:t>
      </w:r>
      <w:r w:rsidRPr="00C06082">
        <w:rPr>
          <w:sz w:val="22"/>
          <w:szCs w:val="22"/>
        </w:rPr>
        <w:t xml:space="preserve"> so far.</w:t>
      </w:r>
      <w:r w:rsidR="00F01F1B" w:rsidRPr="00C06082">
        <w:rPr>
          <w:sz w:val="22"/>
          <w:szCs w:val="22"/>
        </w:rPr>
        <w:t xml:space="preserve"> The targeted deployment scenario </w:t>
      </w:r>
      <w:r w:rsidR="00DA1C45" w:rsidRPr="00C06082">
        <w:rPr>
          <w:sz w:val="22"/>
          <w:szCs w:val="22"/>
        </w:rPr>
        <w:t xml:space="preserve">for band41 is intra-band EN-DC. Intra-band EN-DC deployment poses the most design challenges </w:t>
      </w:r>
      <w:r w:rsidR="00C06082" w:rsidRPr="00C06082">
        <w:rPr>
          <w:sz w:val="22"/>
          <w:szCs w:val="22"/>
        </w:rPr>
        <w:t xml:space="preserve">as </w:t>
      </w:r>
      <w:r w:rsidR="00C06082">
        <w:rPr>
          <w:sz w:val="22"/>
          <w:szCs w:val="22"/>
        </w:rPr>
        <w:t xml:space="preserve">LTE and NR </w:t>
      </w:r>
      <w:r w:rsidR="00323ACB">
        <w:rPr>
          <w:sz w:val="22"/>
          <w:szCs w:val="22"/>
        </w:rPr>
        <w:t>need</w:t>
      </w:r>
      <w:r w:rsidR="00C06082">
        <w:rPr>
          <w:sz w:val="22"/>
          <w:szCs w:val="22"/>
        </w:rPr>
        <w:t xml:space="preserve"> to be </w:t>
      </w:r>
      <w:r w:rsidR="00C06082" w:rsidRPr="00C06082">
        <w:rPr>
          <w:sz w:val="22"/>
          <w:szCs w:val="22"/>
        </w:rPr>
        <w:t>deployed synchronously in terms of TDD pattern, i.e. us</w:t>
      </w:r>
      <w:r w:rsidR="00B00BAA">
        <w:rPr>
          <w:sz w:val="22"/>
          <w:szCs w:val="22"/>
        </w:rPr>
        <w:t>ing</w:t>
      </w:r>
      <w:r w:rsidR="00C06082" w:rsidRPr="00C06082">
        <w:rPr>
          <w:sz w:val="22"/>
          <w:szCs w:val="22"/>
        </w:rPr>
        <w:t xml:space="preserve"> one of the 7 LTE TDD configurations</w:t>
      </w:r>
      <w:r w:rsidR="00BA1641">
        <w:rPr>
          <w:sz w:val="22"/>
          <w:szCs w:val="22"/>
        </w:rPr>
        <w:t xml:space="preserve">. As results, </w:t>
      </w:r>
      <w:r w:rsidR="007515ED">
        <w:rPr>
          <w:sz w:val="22"/>
          <w:szCs w:val="22"/>
        </w:rPr>
        <w:t xml:space="preserve">LTE needs to give up some of its UL resources in time domain in order to allow NR UL operation. </w:t>
      </w:r>
      <w:r>
        <w:rPr>
          <w:sz w:val="22"/>
          <w:szCs w:val="22"/>
        </w:rPr>
        <w:t xml:space="preserve">In this contribution, we discuss two designs that allow such an operation </w:t>
      </w:r>
    </w:p>
    <w:p w14:paraId="2D55317A" w14:textId="77777777" w:rsidR="008B64C4" w:rsidRDefault="008B64C4" w:rsidP="00ED4362">
      <w:pPr>
        <w:jc w:val="both"/>
        <w:rPr>
          <w:sz w:val="22"/>
          <w:szCs w:val="22"/>
        </w:rPr>
      </w:pPr>
    </w:p>
    <w:p w14:paraId="2F08B3D3" w14:textId="77777777" w:rsidR="006F1E38" w:rsidRDefault="006F1E38" w:rsidP="006F1E38">
      <w:pPr>
        <w:pStyle w:val="ListParagraph"/>
        <w:numPr>
          <w:ilvl w:val="0"/>
          <w:numId w:val="29"/>
        </w:numPr>
        <w:jc w:val="both"/>
        <w:rPr>
          <w:rFonts w:ascii="Times New Roman" w:hAnsi="Times New Roman"/>
        </w:rPr>
      </w:pPr>
      <w:r>
        <w:rPr>
          <w:rFonts w:ascii="Times New Roman" w:hAnsi="Times New Roman"/>
        </w:rPr>
        <w:t xml:space="preserve">Case 1: Use </w:t>
      </w:r>
      <w:r w:rsidRPr="00057C12">
        <w:rPr>
          <w:rFonts w:ascii="Times New Roman" w:hAnsi="Times New Roman"/>
        </w:rPr>
        <w:t>eIMTA design to semi-statically allocate the UL resource between LTE and NR in TDM manner</w:t>
      </w:r>
    </w:p>
    <w:p w14:paraId="282FED42" w14:textId="09CD7E92" w:rsidR="00E665EC" w:rsidRPr="00057C12" w:rsidRDefault="006F1E38" w:rsidP="00E665EC">
      <w:pPr>
        <w:pStyle w:val="ListParagraph"/>
        <w:numPr>
          <w:ilvl w:val="0"/>
          <w:numId w:val="29"/>
        </w:numPr>
        <w:jc w:val="both"/>
        <w:rPr>
          <w:rFonts w:ascii="Times New Roman" w:hAnsi="Times New Roman"/>
        </w:rPr>
      </w:pPr>
      <w:r>
        <w:rPr>
          <w:rFonts w:ascii="Times New Roman" w:hAnsi="Times New Roman"/>
        </w:rPr>
        <w:t xml:space="preserve">Case 2: </w:t>
      </w:r>
      <w:r w:rsidR="004E2F82">
        <w:rPr>
          <w:rFonts w:ascii="Times New Roman" w:hAnsi="Times New Roman"/>
        </w:rPr>
        <w:t>Use</w:t>
      </w:r>
      <w:r w:rsidR="00E665EC" w:rsidRPr="00057C12">
        <w:rPr>
          <w:rFonts w:ascii="Times New Roman" w:hAnsi="Times New Roman"/>
        </w:rPr>
        <w:t xml:space="preserve"> the G</w:t>
      </w:r>
      <w:r w:rsidR="00DA7E9B">
        <w:rPr>
          <w:rFonts w:ascii="Times New Roman" w:hAnsi="Times New Roman"/>
        </w:rPr>
        <w:t>P</w:t>
      </w:r>
      <w:r w:rsidR="00E665EC" w:rsidRPr="00057C12">
        <w:rPr>
          <w:rFonts w:ascii="Times New Roman" w:hAnsi="Times New Roman"/>
        </w:rPr>
        <w:t xml:space="preserve"> and UpPTS in special subframes of LTE</w:t>
      </w:r>
      <w:r w:rsidR="004E2F82">
        <w:rPr>
          <w:rFonts w:ascii="Times New Roman" w:hAnsi="Times New Roman"/>
        </w:rPr>
        <w:t xml:space="preserve"> for NR</w:t>
      </w:r>
    </w:p>
    <w:p w14:paraId="47138829" w14:textId="362AF194" w:rsidR="00630837" w:rsidRDefault="00630837" w:rsidP="00630837">
      <w:pPr>
        <w:jc w:val="both"/>
      </w:pPr>
    </w:p>
    <w:p w14:paraId="4FE17308" w14:textId="219B0AC7" w:rsidR="00630837" w:rsidRDefault="00630837" w:rsidP="00630837">
      <w:pPr>
        <w:jc w:val="both"/>
        <w:rPr>
          <w:sz w:val="22"/>
          <w:szCs w:val="22"/>
        </w:rPr>
      </w:pPr>
      <w:r>
        <w:rPr>
          <w:sz w:val="22"/>
          <w:szCs w:val="22"/>
        </w:rPr>
        <w:t xml:space="preserve">We also provide </w:t>
      </w:r>
      <w:r w:rsidR="00A831A8">
        <w:rPr>
          <w:sz w:val="22"/>
          <w:szCs w:val="22"/>
        </w:rPr>
        <w:t>a</w:t>
      </w:r>
      <w:r>
        <w:rPr>
          <w:sz w:val="22"/>
          <w:szCs w:val="22"/>
        </w:rPr>
        <w:t xml:space="preserve">nalysis of both DL and UL HARQ operation, focusing on LTE side due </w:t>
      </w:r>
      <w:r w:rsidR="00C73931">
        <w:rPr>
          <w:sz w:val="22"/>
          <w:szCs w:val="22"/>
        </w:rPr>
        <w:t xml:space="preserve">to </w:t>
      </w:r>
      <w:r>
        <w:rPr>
          <w:sz w:val="22"/>
          <w:szCs w:val="22"/>
        </w:rPr>
        <w:t>the reason discussed above, to show that both solution</w:t>
      </w:r>
      <w:r w:rsidR="00991BE8">
        <w:rPr>
          <w:sz w:val="22"/>
          <w:szCs w:val="22"/>
        </w:rPr>
        <w:t>s</w:t>
      </w:r>
      <w:r>
        <w:rPr>
          <w:sz w:val="22"/>
          <w:szCs w:val="22"/>
        </w:rPr>
        <w:t xml:space="preserve"> </w:t>
      </w:r>
      <w:r w:rsidR="00991BE8">
        <w:rPr>
          <w:sz w:val="22"/>
          <w:szCs w:val="22"/>
        </w:rPr>
        <w:t xml:space="preserve">do not impose restriction on the DL and UL HARQ operation. </w:t>
      </w:r>
      <w:r>
        <w:rPr>
          <w:sz w:val="22"/>
          <w:szCs w:val="22"/>
        </w:rPr>
        <w:t xml:space="preserve">Note that, the above two </w:t>
      </w:r>
      <w:r w:rsidR="00C837B2">
        <w:rPr>
          <w:sz w:val="22"/>
          <w:szCs w:val="22"/>
        </w:rPr>
        <w:t>solutions</w:t>
      </w:r>
      <w:r>
        <w:rPr>
          <w:sz w:val="22"/>
          <w:szCs w:val="22"/>
        </w:rPr>
        <w:t xml:space="preserve"> can be operated jointly to improve latency, etc.</w:t>
      </w:r>
    </w:p>
    <w:p w14:paraId="4B4FA800" w14:textId="1F3C3E51" w:rsidR="003C3F5D" w:rsidRDefault="00C837B2" w:rsidP="003C3F5D">
      <w:pPr>
        <w:pStyle w:val="Heading1"/>
      </w:pPr>
      <w:r>
        <w:t>Case</w:t>
      </w:r>
      <w:r w:rsidR="00042269">
        <w:t xml:space="preserve"> </w:t>
      </w:r>
      <w:r>
        <w:t xml:space="preserve">1: </w:t>
      </w:r>
      <w:r w:rsidR="00803EAA">
        <w:t xml:space="preserve">Use </w:t>
      </w:r>
      <w:r>
        <w:t xml:space="preserve">eIMTA </w:t>
      </w:r>
      <w:r w:rsidR="00803EAA">
        <w:t>for semi-</w:t>
      </w:r>
      <w:r w:rsidR="00D9464E">
        <w:t>static</w:t>
      </w:r>
      <w:r w:rsidR="00803EAA">
        <w:t xml:space="preserve"> TDM UL resource partition</w:t>
      </w:r>
    </w:p>
    <w:p w14:paraId="139A8DAA" w14:textId="71A94B6F" w:rsidR="00991605" w:rsidRDefault="00521780" w:rsidP="004A311F">
      <w:pPr>
        <w:rPr>
          <w:sz w:val="22"/>
        </w:rPr>
      </w:pPr>
      <w:r>
        <w:rPr>
          <w:sz w:val="22"/>
        </w:rPr>
        <w:t xml:space="preserve">In TDD LTE, DL ACK/NAK is carried out </w:t>
      </w:r>
      <w:r w:rsidR="008A7F00">
        <w:rPr>
          <w:sz w:val="22"/>
        </w:rPr>
        <w:t xml:space="preserve">on the regular UL slots. </w:t>
      </w:r>
      <w:r w:rsidR="007255D2">
        <w:rPr>
          <w:sz w:val="22"/>
        </w:rPr>
        <w:t>If some of the UL slots in LTE TDD configurations are take</w:t>
      </w:r>
      <w:r w:rsidR="004142B5">
        <w:rPr>
          <w:sz w:val="22"/>
        </w:rPr>
        <w:t>n</w:t>
      </w:r>
      <w:r w:rsidR="007255D2">
        <w:rPr>
          <w:sz w:val="22"/>
        </w:rPr>
        <w:t xml:space="preserve"> away for NR use, we need to ensure that LTE HARQ operations is not impact</w:t>
      </w:r>
      <w:r w:rsidR="00497A74">
        <w:rPr>
          <w:sz w:val="22"/>
        </w:rPr>
        <w:t>ed</w:t>
      </w:r>
      <w:r w:rsidR="007255D2">
        <w:rPr>
          <w:sz w:val="22"/>
        </w:rPr>
        <w:t xml:space="preserve"> for both DL and UL.</w:t>
      </w:r>
      <w:r w:rsidR="00EC11EE">
        <w:rPr>
          <w:sz w:val="22"/>
        </w:rPr>
        <w:t xml:space="preserve"> LTE eIMTA design from Rel-12</w:t>
      </w:r>
      <w:r w:rsidR="00744007">
        <w:rPr>
          <w:sz w:val="22"/>
        </w:rPr>
        <w:t>,</w:t>
      </w:r>
      <w:r w:rsidR="00744007" w:rsidRPr="00744007">
        <w:rPr>
          <w:sz w:val="22"/>
        </w:rPr>
        <w:t xml:space="preserve"> </w:t>
      </w:r>
      <w:r w:rsidR="000E0855">
        <w:rPr>
          <w:sz w:val="22"/>
        </w:rPr>
        <w:t xml:space="preserve">which </w:t>
      </w:r>
      <w:r w:rsidR="00744007">
        <w:rPr>
          <w:sz w:val="22"/>
        </w:rPr>
        <w:t>allows flexible reconfiguration of UL-DL in LTE,</w:t>
      </w:r>
      <w:r w:rsidR="00EC11EE">
        <w:rPr>
          <w:sz w:val="22"/>
        </w:rPr>
        <w:t xml:space="preserve"> </w:t>
      </w:r>
      <w:r w:rsidR="003E2653">
        <w:rPr>
          <w:sz w:val="22"/>
        </w:rPr>
        <w:t>can be used for semi-static TDM UL resource partition between LTE and NR.</w:t>
      </w:r>
      <w:r w:rsidR="00FD3011">
        <w:rPr>
          <w:sz w:val="22"/>
        </w:rPr>
        <w:t xml:space="preserve"> </w:t>
      </w:r>
      <w:r w:rsidR="00991605">
        <w:rPr>
          <w:sz w:val="22"/>
        </w:rPr>
        <w:t>eIMTA has three TDD UL/DL configuration</w:t>
      </w:r>
      <w:r w:rsidR="00993049">
        <w:rPr>
          <w:sz w:val="22"/>
        </w:rPr>
        <w:t>s</w:t>
      </w:r>
    </w:p>
    <w:p w14:paraId="22757295" w14:textId="482A31F3" w:rsidR="00A23FCF" w:rsidRDefault="00993049" w:rsidP="00447607">
      <w:pPr>
        <w:pStyle w:val="ListParagraph"/>
        <w:numPr>
          <w:ilvl w:val="0"/>
          <w:numId w:val="22"/>
        </w:numPr>
        <w:jc w:val="both"/>
        <w:rPr>
          <w:rFonts w:ascii="Times New Roman" w:hAnsi="Times New Roman"/>
        </w:rPr>
      </w:pPr>
      <w:r>
        <w:rPr>
          <w:rFonts w:ascii="Times New Roman" w:hAnsi="Times New Roman"/>
        </w:rPr>
        <w:lastRenderedPageBreak/>
        <w:t xml:space="preserve">SIB1 configuration, </w:t>
      </w:r>
      <w:r w:rsidR="00496624">
        <w:rPr>
          <w:rFonts w:ascii="Times New Roman" w:hAnsi="Times New Roman"/>
        </w:rPr>
        <w:t xml:space="preserve">i.e. </w:t>
      </w:r>
      <w:r w:rsidR="00AD58C1">
        <w:rPr>
          <w:rFonts w:ascii="Times New Roman" w:hAnsi="Times New Roman"/>
        </w:rPr>
        <w:t>“</w:t>
      </w:r>
      <w:r w:rsidR="00AB4AF9" w:rsidRPr="00AB4AF9">
        <w:rPr>
          <w:rFonts w:ascii="Times New Roman" w:hAnsi="Times New Roman"/>
          <w:i/>
        </w:rPr>
        <w:t>subframeAssignment</w:t>
      </w:r>
      <w:r w:rsidR="00AD58C1">
        <w:rPr>
          <w:rFonts w:ascii="Times New Roman" w:hAnsi="Times New Roman"/>
          <w:i/>
        </w:rPr>
        <w:t>”</w:t>
      </w:r>
      <w:r w:rsidR="00AB4AF9">
        <w:rPr>
          <w:rFonts w:ascii="Times New Roman" w:hAnsi="Times New Roman"/>
        </w:rPr>
        <w:t xml:space="preserve">, provides the </w:t>
      </w:r>
      <w:r w:rsidR="002126E8">
        <w:rPr>
          <w:rFonts w:ascii="Times New Roman" w:hAnsi="Times New Roman"/>
        </w:rPr>
        <w:t xml:space="preserve">TDD configuration for the </w:t>
      </w:r>
      <w:r w:rsidR="00AB4AF9">
        <w:rPr>
          <w:rFonts w:ascii="Times New Roman" w:hAnsi="Times New Roman"/>
        </w:rPr>
        <w:t xml:space="preserve">minimum </w:t>
      </w:r>
      <w:r w:rsidR="00773DFA">
        <w:rPr>
          <w:rFonts w:ascii="Times New Roman" w:hAnsi="Times New Roman"/>
        </w:rPr>
        <w:t>set</w:t>
      </w:r>
      <w:r w:rsidR="002126E8">
        <w:rPr>
          <w:rFonts w:ascii="Times New Roman" w:hAnsi="Times New Roman"/>
        </w:rPr>
        <w:t xml:space="preserve"> of </w:t>
      </w:r>
      <w:r w:rsidR="00AB4AF9">
        <w:rPr>
          <w:rFonts w:ascii="Times New Roman" w:hAnsi="Times New Roman"/>
        </w:rPr>
        <w:t xml:space="preserve">DL </w:t>
      </w:r>
      <w:r w:rsidR="002126E8">
        <w:rPr>
          <w:rFonts w:ascii="Times New Roman" w:hAnsi="Times New Roman"/>
        </w:rPr>
        <w:t>subframes</w:t>
      </w:r>
      <w:r w:rsidR="00A23FCF">
        <w:rPr>
          <w:rFonts w:ascii="Times New Roman" w:hAnsi="Times New Roman"/>
        </w:rPr>
        <w:t>. This means the DL and special subframe in this configuration cannot be switched to UL. It is used for the purpose of (1) coexist with legacy UE</w:t>
      </w:r>
      <w:r w:rsidR="00BF4F23">
        <w:rPr>
          <w:rFonts w:ascii="Times New Roman" w:hAnsi="Times New Roman"/>
        </w:rPr>
        <w:t>s</w:t>
      </w:r>
      <w:r w:rsidR="00A23FCF">
        <w:rPr>
          <w:rFonts w:ascii="Times New Roman" w:hAnsi="Times New Roman"/>
        </w:rPr>
        <w:t xml:space="preserve"> that do not support eIMTA (2) define the UL HARQ timing including the PUSCH (re)-transmission scheduling as well as ACK/NAK</w:t>
      </w:r>
      <w:r w:rsidR="00A113F6">
        <w:rPr>
          <w:rFonts w:ascii="Times New Roman" w:hAnsi="Times New Roman"/>
        </w:rPr>
        <w:t xml:space="preserve"> (PHICH)</w:t>
      </w:r>
      <w:r w:rsidR="00A23FCF">
        <w:rPr>
          <w:rFonts w:ascii="Times New Roman" w:hAnsi="Times New Roman"/>
        </w:rPr>
        <w:t xml:space="preserve"> feedback</w:t>
      </w:r>
      <w:r w:rsidR="00AD30AA">
        <w:rPr>
          <w:rFonts w:ascii="Times New Roman" w:hAnsi="Times New Roman"/>
        </w:rPr>
        <w:t xml:space="preserve"> (3) provide the fixed DL resource</w:t>
      </w:r>
      <w:r w:rsidR="00426762">
        <w:rPr>
          <w:rFonts w:ascii="Times New Roman" w:hAnsi="Times New Roman"/>
        </w:rPr>
        <w:t>s</w:t>
      </w:r>
      <w:r w:rsidR="00AD30AA">
        <w:rPr>
          <w:rFonts w:ascii="Times New Roman" w:hAnsi="Times New Roman"/>
        </w:rPr>
        <w:t xml:space="preserve"> for RRM/RLM measurement, etc.</w:t>
      </w:r>
    </w:p>
    <w:p w14:paraId="0F5DE269" w14:textId="28909244" w:rsidR="00A23FCF" w:rsidRDefault="004D3D8D" w:rsidP="00A23FCF">
      <w:pPr>
        <w:pStyle w:val="ListParagraph"/>
        <w:numPr>
          <w:ilvl w:val="0"/>
          <w:numId w:val="22"/>
        </w:numPr>
        <w:jc w:val="both"/>
        <w:rPr>
          <w:rFonts w:ascii="Times New Roman" w:hAnsi="Times New Roman"/>
        </w:rPr>
      </w:pPr>
      <w:r>
        <w:rPr>
          <w:rFonts w:ascii="Times New Roman" w:hAnsi="Times New Roman"/>
        </w:rPr>
        <w:t>RRC dedicated signalling, “</w:t>
      </w:r>
      <w:r w:rsidRPr="004D3D8D">
        <w:rPr>
          <w:rFonts w:ascii="Times New Roman" w:hAnsi="Times New Roman"/>
          <w:i/>
        </w:rPr>
        <w:t>eimta-HARQ-ReferenceConfig-r12</w:t>
      </w:r>
      <w:r w:rsidRPr="004D3D8D">
        <w:rPr>
          <w:rFonts w:ascii="Times New Roman" w:hAnsi="Times New Roman"/>
        </w:rPr>
        <w:t>”</w:t>
      </w:r>
      <w:r>
        <w:rPr>
          <w:rFonts w:ascii="Times New Roman" w:hAnsi="Times New Roman"/>
        </w:rPr>
        <w:t>,</w:t>
      </w:r>
      <w:r w:rsidR="00A23FCF">
        <w:rPr>
          <w:rFonts w:ascii="Times New Roman" w:hAnsi="Times New Roman"/>
        </w:rPr>
        <w:t xml:space="preserve"> </w:t>
      </w:r>
      <w:r w:rsidR="00C51103">
        <w:rPr>
          <w:rFonts w:ascii="Times New Roman" w:hAnsi="Times New Roman"/>
        </w:rPr>
        <w:t xml:space="preserve">provides </w:t>
      </w:r>
      <w:r w:rsidR="00773DFA">
        <w:rPr>
          <w:rFonts w:ascii="Times New Roman" w:hAnsi="Times New Roman"/>
        </w:rPr>
        <w:t xml:space="preserve">TDD </w:t>
      </w:r>
      <w:r w:rsidR="009B0B48">
        <w:rPr>
          <w:rFonts w:ascii="Times New Roman" w:hAnsi="Times New Roman"/>
        </w:rPr>
        <w:t>configuration</w:t>
      </w:r>
      <w:r w:rsidR="00773DFA">
        <w:rPr>
          <w:rFonts w:ascii="Times New Roman" w:hAnsi="Times New Roman"/>
        </w:rPr>
        <w:t xml:space="preserve"> for the minimum set of </w:t>
      </w:r>
      <w:proofErr w:type="gramStart"/>
      <w:r w:rsidR="00773DFA">
        <w:rPr>
          <w:rFonts w:ascii="Times New Roman" w:hAnsi="Times New Roman"/>
        </w:rPr>
        <w:t>UL</w:t>
      </w:r>
      <w:proofErr w:type="gramEnd"/>
      <w:r w:rsidR="008161F8">
        <w:rPr>
          <w:rFonts w:ascii="Times New Roman" w:hAnsi="Times New Roman"/>
        </w:rPr>
        <w:t xml:space="preserve"> </w:t>
      </w:r>
      <w:r w:rsidR="00773DFA">
        <w:rPr>
          <w:rFonts w:ascii="Times New Roman" w:hAnsi="Times New Roman"/>
        </w:rPr>
        <w:t>subframes</w:t>
      </w:r>
      <w:r w:rsidR="00C51103">
        <w:rPr>
          <w:rFonts w:ascii="Times New Roman" w:hAnsi="Times New Roman"/>
        </w:rPr>
        <w:t>. This means the U</w:t>
      </w:r>
      <w:r w:rsidR="00A23FCF">
        <w:rPr>
          <w:rFonts w:ascii="Times New Roman" w:hAnsi="Times New Roman"/>
        </w:rPr>
        <w:t xml:space="preserve">L and special subframe in this configuration cannot be switched to </w:t>
      </w:r>
      <w:r w:rsidR="00BF4F23">
        <w:rPr>
          <w:rFonts w:ascii="Times New Roman" w:hAnsi="Times New Roman"/>
        </w:rPr>
        <w:t>DL</w:t>
      </w:r>
      <w:r w:rsidR="00A23FCF">
        <w:rPr>
          <w:rFonts w:ascii="Times New Roman" w:hAnsi="Times New Roman"/>
        </w:rPr>
        <w:t xml:space="preserve">. It is used </w:t>
      </w:r>
      <w:r w:rsidR="00C51103">
        <w:rPr>
          <w:rFonts w:ascii="Times New Roman" w:hAnsi="Times New Roman"/>
        </w:rPr>
        <w:t xml:space="preserve">to </w:t>
      </w:r>
      <w:r w:rsidR="00A71FBE">
        <w:rPr>
          <w:rFonts w:ascii="Times New Roman" w:hAnsi="Times New Roman"/>
        </w:rPr>
        <w:t>define the D</w:t>
      </w:r>
      <w:r w:rsidR="00A23FCF">
        <w:rPr>
          <w:rFonts w:ascii="Times New Roman" w:hAnsi="Times New Roman"/>
        </w:rPr>
        <w:t>L HARQ timing</w:t>
      </w:r>
      <w:r w:rsidR="009605EB">
        <w:rPr>
          <w:rFonts w:ascii="Times New Roman" w:hAnsi="Times New Roman"/>
        </w:rPr>
        <w:t xml:space="preserve"> </w:t>
      </w:r>
      <w:r w:rsidR="00125AD9">
        <w:rPr>
          <w:rFonts w:ascii="Times New Roman" w:hAnsi="Times New Roman"/>
        </w:rPr>
        <w:t>of</w:t>
      </w:r>
      <w:r w:rsidR="009605EB">
        <w:rPr>
          <w:rFonts w:ascii="Times New Roman" w:hAnsi="Times New Roman"/>
        </w:rPr>
        <w:t xml:space="preserve"> when to feedback ACK/NAK</w:t>
      </w:r>
      <w:r w:rsidR="00A23FCF">
        <w:rPr>
          <w:rFonts w:ascii="Times New Roman" w:hAnsi="Times New Roman"/>
        </w:rPr>
        <w:t>.</w:t>
      </w:r>
    </w:p>
    <w:p w14:paraId="2C87AA3B" w14:textId="77777777" w:rsidR="00715DF5" w:rsidRDefault="00EC23A3" w:rsidP="00447607">
      <w:pPr>
        <w:pStyle w:val="ListParagraph"/>
        <w:numPr>
          <w:ilvl w:val="0"/>
          <w:numId w:val="22"/>
        </w:numPr>
        <w:jc w:val="both"/>
        <w:rPr>
          <w:rFonts w:ascii="Times New Roman" w:hAnsi="Times New Roman"/>
        </w:rPr>
      </w:pPr>
      <w:r>
        <w:rPr>
          <w:rFonts w:ascii="Times New Roman" w:hAnsi="Times New Roman"/>
        </w:rPr>
        <w:t xml:space="preserve">L1 configuration, i.e. DCI, which allows the dynamic DL/UL configuration for flexible </w:t>
      </w:r>
      <w:r w:rsidR="00715DF5">
        <w:rPr>
          <w:rFonts w:ascii="Times New Roman" w:hAnsi="Times New Roman"/>
        </w:rPr>
        <w:t>subframes, i.e. subframes not marked as DL in SIB1 nor marked as UL in RRC configuration.</w:t>
      </w:r>
    </w:p>
    <w:p w14:paraId="0306663F" w14:textId="77777777" w:rsidR="00AD6629" w:rsidRPr="00AD6629" w:rsidRDefault="00AD6629" w:rsidP="00AD6629">
      <w:pPr>
        <w:pStyle w:val="ListParagraph"/>
        <w:jc w:val="both"/>
      </w:pPr>
    </w:p>
    <w:p w14:paraId="0BB5D612" w14:textId="12CAA794" w:rsidR="00144892" w:rsidRDefault="00144892" w:rsidP="0063541F">
      <w:pPr>
        <w:jc w:val="both"/>
        <w:rPr>
          <w:sz w:val="22"/>
        </w:rPr>
      </w:pPr>
      <w:r>
        <w:rPr>
          <w:sz w:val="22"/>
        </w:rPr>
        <w:t xml:space="preserve">The SIB1 signalling and RRC configuration can </w:t>
      </w:r>
      <w:r w:rsidR="001D53DE">
        <w:rPr>
          <w:sz w:val="22"/>
        </w:rPr>
        <w:t xml:space="preserve">be </w:t>
      </w:r>
      <w:r>
        <w:rPr>
          <w:sz w:val="22"/>
        </w:rPr>
        <w:t>used together to partition LTE TDD UL resource</w:t>
      </w:r>
      <w:r w:rsidR="00A30D80">
        <w:rPr>
          <w:sz w:val="22"/>
        </w:rPr>
        <w:t>s</w:t>
      </w:r>
      <w:r>
        <w:rPr>
          <w:sz w:val="22"/>
        </w:rPr>
        <w:t xml:space="preserve"> in a TDM way. For an existing LTE TDD deployment, the same configuration can be signaled in SIB1 for coexistence consideration. Meanwhile, a TDD configuration with less number of, i.e. a subset of, UL subframes can be configured via RRC </w:t>
      </w:r>
      <w:r w:rsidR="00BC57B1">
        <w:rPr>
          <w:sz w:val="22"/>
        </w:rPr>
        <w:t xml:space="preserve">in order to </w:t>
      </w:r>
      <w:r w:rsidR="00591C56">
        <w:rPr>
          <w:sz w:val="22"/>
        </w:rPr>
        <w:t xml:space="preserve">operate </w:t>
      </w:r>
      <w:r>
        <w:rPr>
          <w:sz w:val="22"/>
        </w:rPr>
        <w:t xml:space="preserve">LTE </w:t>
      </w:r>
      <w:r w:rsidR="00591C56">
        <w:rPr>
          <w:sz w:val="22"/>
        </w:rPr>
        <w:t>w</w:t>
      </w:r>
      <w:r>
        <w:rPr>
          <w:sz w:val="22"/>
        </w:rPr>
        <w:t xml:space="preserve">ith reduced </w:t>
      </w:r>
      <w:r w:rsidR="00560304">
        <w:rPr>
          <w:sz w:val="22"/>
        </w:rPr>
        <w:t xml:space="preserve">number of </w:t>
      </w:r>
      <w:r>
        <w:rPr>
          <w:sz w:val="22"/>
        </w:rPr>
        <w:t xml:space="preserve">UL subframes. The unused UL subframes per radio frame can be used by NR for Single Tx </w:t>
      </w:r>
      <w:r w:rsidR="00A30D80">
        <w:rPr>
          <w:sz w:val="22"/>
        </w:rPr>
        <w:t>Switched</w:t>
      </w:r>
      <w:r>
        <w:rPr>
          <w:sz w:val="22"/>
        </w:rPr>
        <w:t xml:space="preserve"> UL operation.</w:t>
      </w:r>
    </w:p>
    <w:p w14:paraId="07485630" w14:textId="77777777" w:rsidR="00144892" w:rsidRDefault="00144892" w:rsidP="0063541F">
      <w:pPr>
        <w:jc w:val="both"/>
        <w:rPr>
          <w:sz w:val="22"/>
        </w:rPr>
      </w:pPr>
    </w:p>
    <w:p w14:paraId="61698949" w14:textId="74AE1E7D" w:rsidR="00447626" w:rsidRDefault="003C76CC" w:rsidP="0063541F">
      <w:pPr>
        <w:jc w:val="both"/>
        <w:rPr>
          <w:sz w:val="22"/>
        </w:rPr>
      </w:pPr>
      <w:r>
        <w:rPr>
          <w:sz w:val="22"/>
        </w:rPr>
        <w:t>We use TDD configuration 2 (</w:t>
      </w:r>
      <w:r w:rsidR="00215D1D">
        <w:rPr>
          <w:sz w:val="22"/>
        </w:rPr>
        <w:t>2 UL, 6 DL, 2 special subframe)</w:t>
      </w:r>
      <w:r w:rsidR="003A449F">
        <w:rPr>
          <w:sz w:val="22"/>
        </w:rPr>
        <w:t xml:space="preserve"> as an example to illustrate and analyze the DL</w:t>
      </w:r>
      <w:r w:rsidR="008C16F3">
        <w:rPr>
          <w:sz w:val="22"/>
        </w:rPr>
        <w:t xml:space="preserve"> and </w:t>
      </w:r>
      <w:r w:rsidR="003A449F">
        <w:rPr>
          <w:sz w:val="22"/>
        </w:rPr>
        <w:t xml:space="preserve">UL HARQ operation. </w:t>
      </w:r>
      <w:r w:rsidR="00623E78">
        <w:rPr>
          <w:sz w:val="22"/>
        </w:rPr>
        <w:t xml:space="preserve">Figure 1 shows the configuration </w:t>
      </w:r>
      <w:r w:rsidR="00472D9C">
        <w:rPr>
          <w:sz w:val="22"/>
        </w:rPr>
        <w:t>at both</w:t>
      </w:r>
      <w:r w:rsidR="00623E78">
        <w:rPr>
          <w:sz w:val="22"/>
        </w:rPr>
        <w:t xml:space="preserve"> LTE and NR side as well as how NW operat</w:t>
      </w:r>
      <w:r w:rsidR="00FF303A">
        <w:rPr>
          <w:sz w:val="22"/>
        </w:rPr>
        <w:t>es</w:t>
      </w:r>
      <w:r w:rsidR="00623E78">
        <w:rPr>
          <w:sz w:val="22"/>
        </w:rPr>
        <w:t xml:space="preserve">. </w:t>
      </w:r>
      <w:r w:rsidR="007117E0">
        <w:rPr>
          <w:sz w:val="22"/>
        </w:rPr>
        <w:t xml:space="preserve">From LTE side, </w:t>
      </w:r>
      <w:r w:rsidR="0013408B">
        <w:rPr>
          <w:sz w:val="22"/>
        </w:rPr>
        <w:t>TDD configuration 2 can be signaled in SIB1, while TDD configuration 5 (</w:t>
      </w:r>
      <w:r w:rsidR="003F1514">
        <w:rPr>
          <w:sz w:val="22"/>
        </w:rPr>
        <w:t>1 UL, 8</w:t>
      </w:r>
      <w:r w:rsidR="0013408B">
        <w:rPr>
          <w:sz w:val="22"/>
        </w:rPr>
        <w:t xml:space="preserve"> DL, </w:t>
      </w:r>
      <w:r w:rsidR="003F1514">
        <w:rPr>
          <w:sz w:val="22"/>
        </w:rPr>
        <w:t>1</w:t>
      </w:r>
      <w:r w:rsidR="0013408B">
        <w:rPr>
          <w:sz w:val="22"/>
        </w:rPr>
        <w:t xml:space="preserve"> special subframe) can be signaled </w:t>
      </w:r>
      <w:r w:rsidR="00126ABE">
        <w:rPr>
          <w:sz w:val="22"/>
        </w:rPr>
        <w:t>via RRC.</w:t>
      </w:r>
      <w:r w:rsidR="00D53BB2">
        <w:rPr>
          <w:sz w:val="22"/>
        </w:rPr>
        <w:t xml:space="preserve"> From NR side, only subframe 7 is used for NR UL transmission. From the </w:t>
      </w:r>
      <w:r w:rsidR="000F2947">
        <w:rPr>
          <w:sz w:val="22"/>
        </w:rPr>
        <w:t xml:space="preserve">NW </w:t>
      </w:r>
      <w:r w:rsidR="006F4222">
        <w:rPr>
          <w:sz w:val="22"/>
        </w:rPr>
        <w:t>operation</w:t>
      </w:r>
      <w:r w:rsidR="00D53BB2">
        <w:rPr>
          <w:sz w:val="22"/>
        </w:rPr>
        <w:t xml:space="preserve"> perspective, clearly</w:t>
      </w:r>
      <w:r w:rsidR="000F2947">
        <w:rPr>
          <w:sz w:val="22"/>
        </w:rPr>
        <w:t xml:space="preserve">, </w:t>
      </w:r>
      <w:r w:rsidR="00D53BB2">
        <w:rPr>
          <w:sz w:val="22"/>
        </w:rPr>
        <w:t xml:space="preserve">2 UL subframes in TDD </w:t>
      </w:r>
      <w:r w:rsidR="006F4222">
        <w:rPr>
          <w:sz w:val="22"/>
        </w:rPr>
        <w:t>configuration</w:t>
      </w:r>
      <w:r w:rsidR="00D53BB2">
        <w:rPr>
          <w:sz w:val="22"/>
        </w:rPr>
        <w:t xml:space="preserve"> 2 are semi-statically split between</w:t>
      </w:r>
      <w:r w:rsidR="00A375C1">
        <w:rPr>
          <w:sz w:val="22"/>
        </w:rPr>
        <w:t xml:space="preserve"> LTE and NR, i.e. SF</w:t>
      </w:r>
      <w:r w:rsidR="00447626">
        <w:rPr>
          <w:sz w:val="22"/>
        </w:rPr>
        <w:t xml:space="preserve">2 assigned to LTE and SF7 </w:t>
      </w:r>
      <w:r w:rsidR="004030A7">
        <w:rPr>
          <w:sz w:val="22"/>
        </w:rPr>
        <w:t xml:space="preserve">assigned </w:t>
      </w:r>
      <w:r w:rsidR="00447626">
        <w:rPr>
          <w:sz w:val="22"/>
        </w:rPr>
        <w:t>to NR.</w:t>
      </w:r>
    </w:p>
    <w:p w14:paraId="4B304A5C" w14:textId="77777777" w:rsidR="001257E2" w:rsidRDefault="001257E2" w:rsidP="0063541F">
      <w:pPr>
        <w:jc w:val="both"/>
        <w:rPr>
          <w:sz w:val="22"/>
        </w:rPr>
      </w:pPr>
    </w:p>
    <w:p w14:paraId="54302D9D" w14:textId="2009AC2B" w:rsidR="00482AAD" w:rsidRPr="00472D9C" w:rsidRDefault="00472D9C" w:rsidP="00472D9C">
      <w:pPr>
        <w:jc w:val="center"/>
        <w:rPr>
          <w:sz w:val="22"/>
        </w:rPr>
      </w:pPr>
      <w:r>
        <w:rPr>
          <w:noProof/>
          <w:sz w:val="22"/>
        </w:rPr>
        <w:drawing>
          <wp:inline distT="0" distB="0" distL="0" distR="0" wp14:anchorId="59A8EF75" wp14:editId="4AC7F70D">
            <wp:extent cx="4550257" cy="2488739"/>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18-05-08 at 11.25.24 AM.png"/>
                    <pic:cNvPicPr/>
                  </pic:nvPicPr>
                  <pic:blipFill>
                    <a:blip r:embed="rId8"/>
                    <a:stretch>
                      <a:fillRect/>
                    </a:stretch>
                  </pic:blipFill>
                  <pic:spPr>
                    <a:xfrm>
                      <a:off x="0" y="0"/>
                      <a:ext cx="4566989" cy="2497890"/>
                    </a:xfrm>
                    <a:prstGeom prst="rect">
                      <a:avLst/>
                    </a:prstGeom>
                  </pic:spPr>
                </pic:pic>
              </a:graphicData>
            </a:graphic>
          </wp:inline>
        </w:drawing>
      </w:r>
    </w:p>
    <w:p w14:paraId="598630A0" w14:textId="42B4DD89" w:rsidR="00126ABE" w:rsidRDefault="00482AAD" w:rsidP="00482AAD">
      <w:pPr>
        <w:pStyle w:val="Caption"/>
        <w:rPr>
          <w:sz w:val="22"/>
        </w:rPr>
      </w:pPr>
      <w:r w:rsidRPr="00767266">
        <w:rPr>
          <w:sz w:val="22"/>
        </w:rPr>
        <w:t xml:space="preserve">Figure </w:t>
      </w:r>
      <w:r w:rsidRPr="00767266">
        <w:rPr>
          <w:sz w:val="22"/>
        </w:rPr>
        <w:fldChar w:fldCharType="begin"/>
      </w:r>
      <w:r w:rsidRPr="00767266">
        <w:rPr>
          <w:sz w:val="22"/>
        </w:rPr>
        <w:instrText xml:space="preserve"> SEQ Figure \* ARABIC </w:instrText>
      </w:r>
      <w:r w:rsidRPr="00767266">
        <w:rPr>
          <w:sz w:val="22"/>
        </w:rPr>
        <w:fldChar w:fldCharType="separate"/>
      </w:r>
      <w:r w:rsidR="009B0C1D">
        <w:rPr>
          <w:noProof/>
          <w:sz w:val="22"/>
        </w:rPr>
        <w:t>1</w:t>
      </w:r>
      <w:r w:rsidRPr="00767266">
        <w:rPr>
          <w:sz w:val="22"/>
        </w:rPr>
        <w:fldChar w:fldCharType="end"/>
      </w:r>
      <w:r w:rsidRPr="00767266">
        <w:rPr>
          <w:sz w:val="22"/>
        </w:rPr>
        <w:t xml:space="preserve"> Use eIMTA for semi-static TDM UL resource partition </w:t>
      </w:r>
    </w:p>
    <w:p w14:paraId="6D923508" w14:textId="0F6B6382" w:rsidR="00467930" w:rsidRPr="0062780F" w:rsidRDefault="00E12A4B" w:rsidP="00467930">
      <w:pPr>
        <w:rPr>
          <w:sz w:val="22"/>
        </w:rPr>
      </w:pPr>
      <w:r w:rsidRPr="0062780F">
        <w:rPr>
          <w:sz w:val="22"/>
        </w:rPr>
        <w:t xml:space="preserve">It is </w:t>
      </w:r>
      <w:r w:rsidR="0062780F">
        <w:rPr>
          <w:sz w:val="22"/>
        </w:rPr>
        <w:t xml:space="preserve">also </w:t>
      </w:r>
      <w:r w:rsidRPr="0062780F">
        <w:rPr>
          <w:sz w:val="22"/>
        </w:rPr>
        <w:t xml:space="preserve">interesting to note the usage of special subframe. It is still possible to allocate UpPTS in LTE special subframe, or even </w:t>
      </w:r>
      <w:r w:rsidR="00DF0614" w:rsidRPr="0062780F">
        <w:rPr>
          <w:sz w:val="22"/>
        </w:rPr>
        <w:t>together</w:t>
      </w:r>
      <w:r w:rsidRPr="0062780F">
        <w:rPr>
          <w:sz w:val="22"/>
        </w:rPr>
        <w:t xml:space="preserve"> with G</w:t>
      </w:r>
      <w:r w:rsidR="00DF0614" w:rsidRPr="0062780F">
        <w:rPr>
          <w:sz w:val="22"/>
        </w:rPr>
        <w:t>P</w:t>
      </w:r>
      <w:r w:rsidR="00B92EDB">
        <w:rPr>
          <w:sz w:val="22"/>
        </w:rPr>
        <w:t>, to NR</w:t>
      </w:r>
      <w:r w:rsidR="00E56B5B">
        <w:rPr>
          <w:sz w:val="22"/>
        </w:rPr>
        <w:t xml:space="preserve"> to improve latency or higher UL date rate. We will discuss the resource partition within LTE special subframe </w:t>
      </w:r>
      <w:r w:rsidRPr="0062780F">
        <w:rPr>
          <w:sz w:val="22"/>
        </w:rPr>
        <w:t>in the next section.</w:t>
      </w:r>
    </w:p>
    <w:p w14:paraId="4217310E" w14:textId="77777777" w:rsidR="00E12A4B" w:rsidRPr="0062780F" w:rsidRDefault="00E12A4B" w:rsidP="00467930">
      <w:pPr>
        <w:rPr>
          <w:sz w:val="22"/>
        </w:rPr>
      </w:pPr>
    </w:p>
    <w:p w14:paraId="2247AABF" w14:textId="3C9F7BF6" w:rsidR="00886800" w:rsidRPr="0062780F" w:rsidRDefault="00A9170B" w:rsidP="00467930">
      <w:pPr>
        <w:rPr>
          <w:sz w:val="22"/>
        </w:rPr>
      </w:pPr>
      <w:r>
        <w:rPr>
          <w:sz w:val="22"/>
        </w:rPr>
        <w:t xml:space="preserve">To validate the </w:t>
      </w:r>
      <w:r w:rsidR="00DF1A51" w:rsidRPr="0062780F">
        <w:rPr>
          <w:sz w:val="22"/>
        </w:rPr>
        <w:t>solution, we need to check the HARQ operation from LTE side for both D</w:t>
      </w:r>
      <w:r w:rsidR="0063340A" w:rsidRPr="0062780F">
        <w:rPr>
          <w:sz w:val="22"/>
        </w:rPr>
        <w:t>L and UL to ensure that there are</w:t>
      </w:r>
      <w:r w:rsidR="00DF1A51" w:rsidRPr="0062780F">
        <w:rPr>
          <w:sz w:val="22"/>
        </w:rPr>
        <w:t xml:space="preserve"> no restrictions.</w:t>
      </w:r>
      <w:r w:rsidR="0095209A" w:rsidRPr="0062780F">
        <w:rPr>
          <w:sz w:val="22"/>
        </w:rPr>
        <w:t xml:space="preserve"> We start with the DL HARQ processing. Since LTE DL is asynchronous operation, we only need to check the ACK/NAK feedback.</w:t>
      </w:r>
      <w:r w:rsidR="00453155" w:rsidRPr="0062780F">
        <w:rPr>
          <w:sz w:val="22"/>
        </w:rPr>
        <w:t xml:space="preserve"> </w:t>
      </w:r>
    </w:p>
    <w:p w14:paraId="48B51F52" w14:textId="77777777" w:rsidR="00886800" w:rsidRPr="0062780F" w:rsidRDefault="00886800" w:rsidP="00467930">
      <w:pPr>
        <w:rPr>
          <w:sz w:val="22"/>
        </w:rPr>
      </w:pPr>
    </w:p>
    <w:p w14:paraId="3D664967" w14:textId="3DC43E89" w:rsidR="00DF1A51" w:rsidRPr="0062780F" w:rsidRDefault="00453155" w:rsidP="00467930">
      <w:pPr>
        <w:rPr>
          <w:sz w:val="22"/>
        </w:rPr>
      </w:pPr>
      <w:r w:rsidRPr="0062780F">
        <w:rPr>
          <w:sz w:val="22"/>
        </w:rPr>
        <w:t xml:space="preserve">Figure 2 illustrates </w:t>
      </w:r>
      <w:r w:rsidRPr="0062780F">
        <w:rPr>
          <w:sz w:val="21"/>
        </w:rPr>
        <w:t xml:space="preserve">the </w:t>
      </w:r>
      <w:r w:rsidR="00886800" w:rsidRPr="0062780F">
        <w:rPr>
          <w:sz w:val="21"/>
        </w:rPr>
        <w:t xml:space="preserve">DL </w:t>
      </w:r>
      <w:r w:rsidRPr="0062780F">
        <w:rPr>
          <w:sz w:val="21"/>
        </w:rPr>
        <w:t xml:space="preserve">ACK/NAK feedback according to </w:t>
      </w:r>
      <w:r w:rsidR="00446749" w:rsidRPr="0062780F">
        <w:rPr>
          <w:sz w:val="21"/>
        </w:rPr>
        <w:t xml:space="preserve">Table 10.1.3.1-1 and Table 10.1.3.1-1A </w:t>
      </w:r>
      <w:r w:rsidR="00C40315">
        <w:rPr>
          <w:sz w:val="21"/>
        </w:rPr>
        <w:t xml:space="preserve">in </w:t>
      </w:r>
      <w:r w:rsidRPr="0062780F">
        <w:rPr>
          <w:sz w:val="21"/>
        </w:rPr>
        <w:t>[9]</w:t>
      </w:r>
      <w:r w:rsidR="00886800" w:rsidRPr="0062780F">
        <w:rPr>
          <w:sz w:val="21"/>
        </w:rPr>
        <w:t>. Clearly, single UL subframes</w:t>
      </w:r>
      <w:r w:rsidR="00292E06">
        <w:rPr>
          <w:sz w:val="21"/>
        </w:rPr>
        <w:t>, i.e. SF2,</w:t>
      </w:r>
      <w:r w:rsidR="00886800" w:rsidRPr="0062780F">
        <w:rPr>
          <w:sz w:val="21"/>
        </w:rPr>
        <w:t xml:space="preserve"> can be used to </w:t>
      </w:r>
      <w:r w:rsidR="00292E06">
        <w:rPr>
          <w:sz w:val="21"/>
        </w:rPr>
        <w:t xml:space="preserve">carry the </w:t>
      </w:r>
      <w:r w:rsidR="00886800" w:rsidRPr="0062780F">
        <w:rPr>
          <w:sz w:val="21"/>
        </w:rPr>
        <w:t xml:space="preserve">DL ACK/NAK </w:t>
      </w:r>
      <w:r w:rsidR="00292E06">
        <w:rPr>
          <w:sz w:val="21"/>
        </w:rPr>
        <w:t xml:space="preserve">feedback </w:t>
      </w:r>
      <w:r w:rsidR="0023274F">
        <w:rPr>
          <w:sz w:val="21"/>
        </w:rPr>
        <w:t>of</w:t>
      </w:r>
      <w:r w:rsidR="00886800" w:rsidRPr="0062780F">
        <w:rPr>
          <w:sz w:val="21"/>
        </w:rPr>
        <w:t xml:space="preserve"> the rest 9 subframe. Different colors (black and red) </w:t>
      </w:r>
      <w:r w:rsidR="00AF3740">
        <w:rPr>
          <w:sz w:val="21"/>
        </w:rPr>
        <w:t>are</w:t>
      </w:r>
      <w:r w:rsidR="00886800" w:rsidRPr="0062780F">
        <w:rPr>
          <w:sz w:val="21"/>
        </w:rPr>
        <w:t xml:space="preserve"> used to illustrate the PUCCH resource allocation in </w:t>
      </w:r>
      <w:r w:rsidR="00886800" w:rsidRPr="0062780F">
        <w:rPr>
          <w:sz w:val="22"/>
        </w:rPr>
        <w:t xml:space="preserve">order to </w:t>
      </w:r>
      <w:r w:rsidR="00B533B6" w:rsidRPr="0062780F">
        <w:rPr>
          <w:sz w:val="22"/>
        </w:rPr>
        <w:t xml:space="preserve">more efficiently </w:t>
      </w:r>
      <w:r w:rsidR="00886800" w:rsidRPr="0062780F">
        <w:rPr>
          <w:sz w:val="22"/>
        </w:rPr>
        <w:t>coexist with the legacy UE that does not support eIMTA.</w:t>
      </w:r>
      <w:r w:rsidR="008A467D" w:rsidRPr="0062780F">
        <w:rPr>
          <w:sz w:val="22"/>
        </w:rPr>
        <w:t xml:space="preserve"> From Fig</w:t>
      </w:r>
      <w:r w:rsidR="006B27AB" w:rsidRPr="0062780F">
        <w:rPr>
          <w:sz w:val="22"/>
        </w:rPr>
        <w:t>ure</w:t>
      </w:r>
      <w:r w:rsidR="008A467D" w:rsidRPr="0062780F">
        <w:rPr>
          <w:sz w:val="22"/>
        </w:rPr>
        <w:t xml:space="preserve"> 2, we can conclude that DL ACK/NAK feedback has no issue.</w:t>
      </w:r>
    </w:p>
    <w:p w14:paraId="1231F9C5" w14:textId="77777777" w:rsidR="00886800" w:rsidRDefault="00886800" w:rsidP="00467930"/>
    <w:p w14:paraId="4F911009" w14:textId="77777777" w:rsidR="00326A64" w:rsidRDefault="00326A64" w:rsidP="00467930"/>
    <w:p w14:paraId="1EB6CE43" w14:textId="77777777" w:rsidR="00326A64" w:rsidRDefault="00326A64" w:rsidP="00326A64">
      <w:pPr>
        <w:keepNext/>
        <w:jc w:val="center"/>
      </w:pPr>
      <w:r>
        <w:rPr>
          <w:noProof/>
        </w:rPr>
        <w:drawing>
          <wp:inline distT="0" distB="0" distL="0" distR="0" wp14:anchorId="6F9C9EB7" wp14:editId="715ED521">
            <wp:extent cx="5026256" cy="823891"/>
            <wp:effectExtent l="0" t="0" r="317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18-05-08 at 11.52.57 AM.png"/>
                    <pic:cNvPicPr/>
                  </pic:nvPicPr>
                  <pic:blipFill>
                    <a:blip r:embed="rId9"/>
                    <a:stretch>
                      <a:fillRect/>
                    </a:stretch>
                  </pic:blipFill>
                  <pic:spPr>
                    <a:xfrm>
                      <a:off x="0" y="0"/>
                      <a:ext cx="5057808" cy="829063"/>
                    </a:xfrm>
                    <a:prstGeom prst="rect">
                      <a:avLst/>
                    </a:prstGeom>
                  </pic:spPr>
                </pic:pic>
              </a:graphicData>
            </a:graphic>
          </wp:inline>
        </w:drawing>
      </w:r>
    </w:p>
    <w:p w14:paraId="51A7CF6D" w14:textId="0C7C2134" w:rsidR="005A571B" w:rsidRDefault="00326A64" w:rsidP="00326A64">
      <w:pPr>
        <w:pStyle w:val="Caption"/>
        <w:rPr>
          <w:sz w:val="22"/>
          <w:szCs w:val="22"/>
        </w:rPr>
      </w:pPr>
      <w:r w:rsidRPr="00326A64">
        <w:rPr>
          <w:sz w:val="22"/>
          <w:szCs w:val="22"/>
        </w:rPr>
        <w:t xml:space="preserve">Figure </w:t>
      </w:r>
      <w:r w:rsidRPr="00326A64">
        <w:rPr>
          <w:sz w:val="22"/>
          <w:szCs w:val="22"/>
        </w:rPr>
        <w:fldChar w:fldCharType="begin"/>
      </w:r>
      <w:r w:rsidRPr="00326A64">
        <w:rPr>
          <w:sz w:val="22"/>
          <w:szCs w:val="22"/>
        </w:rPr>
        <w:instrText xml:space="preserve"> SEQ Figure \* ARABIC </w:instrText>
      </w:r>
      <w:r w:rsidRPr="00326A64">
        <w:rPr>
          <w:sz w:val="22"/>
          <w:szCs w:val="22"/>
        </w:rPr>
        <w:fldChar w:fldCharType="separate"/>
      </w:r>
      <w:r w:rsidR="009B0C1D">
        <w:rPr>
          <w:noProof/>
          <w:sz w:val="22"/>
          <w:szCs w:val="22"/>
        </w:rPr>
        <w:t>2</w:t>
      </w:r>
      <w:r w:rsidRPr="00326A64">
        <w:rPr>
          <w:sz w:val="22"/>
          <w:szCs w:val="22"/>
        </w:rPr>
        <w:fldChar w:fldCharType="end"/>
      </w:r>
      <w:r w:rsidRPr="00326A64">
        <w:rPr>
          <w:sz w:val="22"/>
          <w:szCs w:val="22"/>
        </w:rPr>
        <w:t xml:space="preserve"> </w:t>
      </w:r>
      <w:r w:rsidR="00941B38">
        <w:rPr>
          <w:sz w:val="22"/>
          <w:szCs w:val="22"/>
        </w:rPr>
        <w:t xml:space="preserve">LTE </w:t>
      </w:r>
      <w:r w:rsidR="005A571B">
        <w:rPr>
          <w:sz w:val="22"/>
          <w:szCs w:val="22"/>
        </w:rPr>
        <w:t>DL A</w:t>
      </w:r>
      <w:r w:rsidR="00941B38">
        <w:rPr>
          <w:sz w:val="22"/>
          <w:szCs w:val="22"/>
        </w:rPr>
        <w:t>CK/</w:t>
      </w:r>
      <w:r w:rsidR="005A571B">
        <w:rPr>
          <w:sz w:val="22"/>
          <w:szCs w:val="22"/>
        </w:rPr>
        <w:t xml:space="preserve">NAK timing for </w:t>
      </w:r>
      <w:r w:rsidRPr="00326A64">
        <w:rPr>
          <w:sz w:val="22"/>
          <w:szCs w:val="22"/>
        </w:rPr>
        <w:t xml:space="preserve">eIMTA </w:t>
      </w:r>
    </w:p>
    <w:p w14:paraId="3A1EAA2B" w14:textId="3FDA9BCF" w:rsidR="00DF1A51" w:rsidRDefault="00502276" w:rsidP="00467930">
      <w:pPr>
        <w:rPr>
          <w:sz w:val="22"/>
        </w:rPr>
      </w:pPr>
      <w:r w:rsidRPr="0062780F">
        <w:rPr>
          <w:sz w:val="22"/>
        </w:rPr>
        <w:t>Then, w</w:t>
      </w:r>
      <w:r w:rsidR="00941B38" w:rsidRPr="0062780F">
        <w:rPr>
          <w:sz w:val="22"/>
        </w:rPr>
        <w:t xml:space="preserve">e </w:t>
      </w:r>
      <w:r w:rsidRPr="0062780F">
        <w:rPr>
          <w:sz w:val="22"/>
        </w:rPr>
        <w:t xml:space="preserve">need to </w:t>
      </w:r>
      <w:r w:rsidR="00941B38" w:rsidRPr="0062780F">
        <w:rPr>
          <w:sz w:val="22"/>
        </w:rPr>
        <w:t xml:space="preserve">check the UL HARQ timing. Since LTE UL is synchronous operation, we need to check both the PUSCH scheduling and ACK/NAK feedback </w:t>
      </w:r>
      <w:r w:rsidR="00892722">
        <w:rPr>
          <w:sz w:val="22"/>
        </w:rPr>
        <w:t>timing</w:t>
      </w:r>
      <w:r w:rsidR="00941B38" w:rsidRPr="0062780F">
        <w:rPr>
          <w:sz w:val="22"/>
        </w:rPr>
        <w:t xml:space="preserve">. Figure 3 illustrates the </w:t>
      </w:r>
      <w:r w:rsidR="00C65C33" w:rsidRPr="0062780F">
        <w:rPr>
          <w:sz w:val="22"/>
        </w:rPr>
        <w:t>UL HARQ timing</w:t>
      </w:r>
      <w:r w:rsidR="00941B38" w:rsidRPr="0062780F">
        <w:rPr>
          <w:sz w:val="22"/>
        </w:rPr>
        <w:t xml:space="preserve"> according to </w:t>
      </w:r>
      <w:r w:rsidR="00952F71" w:rsidRPr="0062780F">
        <w:rPr>
          <w:sz w:val="22"/>
        </w:rPr>
        <w:t xml:space="preserve">Table 8-2 and </w:t>
      </w:r>
      <w:r w:rsidR="00941B38" w:rsidRPr="0062780F">
        <w:rPr>
          <w:sz w:val="22"/>
        </w:rPr>
        <w:t xml:space="preserve">Table </w:t>
      </w:r>
      <w:r w:rsidR="009931A8" w:rsidRPr="0062780F">
        <w:rPr>
          <w:sz w:val="22"/>
        </w:rPr>
        <w:t>8</w:t>
      </w:r>
      <w:r w:rsidR="00941B38" w:rsidRPr="0062780F">
        <w:rPr>
          <w:sz w:val="22"/>
        </w:rPr>
        <w:t>.</w:t>
      </w:r>
      <w:r w:rsidR="009B064B" w:rsidRPr="0062780F">
        <w:rPr>
          <w:sz w:val="22"/>
        </w:rPr>
        <w:t>3-</w:t>
      </w:r>
      <w:r w:rsidR="00941B38" w:rsidRPr="0062780F">
        <w:rPr>
          <w:sz w:val="22"/>
        </w:rPr>
        <w:t xml:space="preserve">1 </w:t>
      </w:r>
      <w:r w:rsidR="00037FBF">
        <w:rPr>
          <w:sz w:val="22"/>
        </w:rPr>
        <w:t xml:space="preserve">in </w:t>
      </w:r>
      <w:r w:rsidR="00941B38" w:rsidRPr="0062780F">
        <w:rPr>
          <w:sz w:val="22"/>
        </w:rPr>
        <w:t>[9].</w:t>
      </w:r>
      <w:r w:rsidR="006B27AB" w:rsidRPr="0062780F">
        <w:rPr>
          <w:sz w:val="22"/>
        </w:rPr>
        <w:t xml:space="preserve"> Clearly, from Figure 2, we can conclude that UL HARQ timing has no issue.</w:t>
      </w:r>
      <w:r w:rsidR="00A9170B">
        <w:rPr>
          <w:sz w:val="22"/>
        </w:rPr>
        <w:t xml:space="preserve"> It is also interesting to note that, the HARQ turn-around time, </w:t>
      </w:r>
      <w:r w:rsidR="006F5AF6">
        <w:rPr>
          <w:sz w:val="22"/>
        </w:rPr>
        <w:t>i.e</w:t>
      </w:r>
      <w:r w:rsidR="004272E5">
        <w:rPr>
          <w:sz w:val="22"/>
        </w:rPr>
        <w:t xml:space="preserve">. </w:t>
      </w:r>
      <w:r w:rsidR="00A9170B">
        <w:rPr>
          <w:sz w:val="22"/>
        </w:rPr>
        <w:t xml:space="preserve">time between </w:t>
      </w:r>
      <w:r w:rsidR="006F5AF6">
        <w:rPr>
          <w:sz w:val="22"/>
        </w:rPr>
        <w:t xml:space="preserve">the </w:t>
      </w:r>
      <w:r w:rsidR="00A9170B">
        <w:rPr>
          <w:sz w:val="22"/>
        </w:rPr>
        <w:t>first PUSCH (re)-transmission and the following PUSCH re-transmission</w:t>
      </w:r>
      <w:r w:rsidR="004C28A2">
        <w:rPr>
          <w:sz w:val="22"/>
        </w:rPr>
        <w:t xml:space="preserve">, is 10ms. This means the retransmission of the </w:t>
      </w:r>
      <w:r w:rsidR="005D0A7C">
        <w:rPr>
          <w:sz w:val="22"/>
        </w:rPr>
        <w:t>PUSCH uses the same subframe which allows the UL resources to be semi-statically partitioned without impacting the UL HARQ operation.</w:t>
      </w:r>
      <w:r w:rsidR="004C28A2">
        <w:rPr>
          <w:sz w:val="22"/>
        </w:rPr>
        <w:t xml:space="preserve"> </w:t>
      </w:r>
    </w:p>
    <w:p w14:paraId="3752A9C6" w14:textId="77777777" w:rsidR="0062780F" w:rsidRPr="0062780F" w:rsidRDefault="0062780F" w:rsidP="00467930">
      <w:pPr>
        <w:rPr>
          <w:sz w:val="22"/>
        </w:rPr>
      </w:pPr>
    </w:p>
    <w:p w14:paraId="1A0D4DF6" w14:textId="77777777" w:rsidR="00502276" w:rsidRDefault="00502276" w:rsidP="00502276">
      <w:pPr>
        <w:keepNext/>
        <w:jc w:val="center"/>
      </w:pPr>
      <w:r>
        <w:rPr>
          <w:noProof/>
        </w:rPr>
        <w:drawing>
          <wp:inline distT="0" distB="0" distL="0" distR="0" wp14:anchorId="1943A653" wp14:editId="2FA1A3F2">
            <wp:extent cx="5138823" cy="116008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 Shot 2018-05-08 at 12.07.11 PM.png"/>
                    <pic:cNvPicPr/>
                  </pic:nvPicPr>
                  <pic:blipFill>
                    <a:blip r:embed="rId10"/>
                    <a:stretch>
                      <a:fillRect/>
                    </a:stretch>
                  </pic:blipFill>
                  <pic:spPr>
                    <a:xfrm>
                      <a:off x="0" y="0"/>
                      <a:ext cx="5168876" cy="1166871"/>
                    </a:xfrm>
                    <a:prstGeom prst="rect">
                      <a:avLst/>
                    </a:prstGeom>
                  </pic:spPr>
                </pic:pic>
              </a:graphicData>
            </a:graphic>
          </wp:inline>
        </w:drawing>
      </w:r>
    </w:p>
    <w:p w14:paraId="33364A35" w14:textId="71AF4032" w:rsidR="00502276" w:rsidRDefault="00502276" w:rsidP="00502276">
      <w:pPr>
        <w:pStyle w:val="Caption"/>
      </w:pPr>
      <w:r>
        <w:t xml:space="preserve">Figure </w:t>
      </w:r>
      <w:r w:rsidR="007609FA">
        <w:fldChar w:fldCharType="begin"/>
      </w:r>
      <w:r w:rsidR="007609FA">
        <w:instrText xml:space="preserve"> SEQ Figure \* ARABIC </w:instrText>
      </w:r>
      <w:r w:rsidR="007609FA">
        <w:fldChar w:fldCharType="separate"/>
      </w:r>
      <w:r w:rsidR="009B0C1D">
        <w:rPr>
          <w:noProof/>
        </w:rPr>
        <w:t>3</w:t>
      </w:r>
      <w:r w:rsidR="007609FA">
        <w:rPr>
          <w:noProof/>
        </w:rPr>
        <w:fldChar w:fldCharType="end"/>
      </w:r>
      <w:r>
        <w:t xml:space="preserve"> </w:t>
      </w:r>
      <w:r>
        <w:rPr>
          <w:sz w:val="22"/>
          <w:szCs w:val="22"/>
        </w:rPr>
        <w:t xml:space="preserve">LTE UL HARQ timing for </w:t>
      </w:r>
      <w:r w:rsidRPr="00326A64">
        <w:rPr>
          <w:sz w:val="22"/>
          <w:szCs w:val="22"/>
        </w:rPr>
        <w:t>eIMTA</w:t>
      </w:r>
    </w:p>
    <w:p w14:paraId="56AEC93B" w14:textId="77777777" w:rsidR="00502276" w:rsidRDefault="00502276" w:rsidP="00502276">
      <w:pPr>
        <w:jc w:val="center"/>
      </w:pPr>
    </w:p>
    <w:p w14:paraId="44C9974A" w14:textId="3B7EA4F7" w:rsidR="00502276" w:rsidRDefault="009D267B" w:rsidP="00467930">
      <w:r>
        <w:t>Based on the discussion and analysis, we have the following observation</w:t>
      </w:r>
    </w:p>
    <w:p w14:paraId="0107A40E" w14:textId="77777777" w:rsidR="00231886" w:rsidRDefault="00231886" w:rsidP="00231886">
      <w:pPr>
        <w:rPr>
          <w:rFonts w:eastAsia="SimSun"/>
          <w:b/>
          <w:bCs/>
          <w:i/>
          <w:sz w:val="22"/>
          <w:szCs w:val="22"/>
          <w:u w:val="single"/>
        </w:rPr>
      </w:pPr>
    </w:p>
    <w:p w14:paraId="7C7F5221" w14:textId="5D71B192" w:rsidR="009D267B" w:rsidRPr="00E53448" w:rsidRDefault="00231886" w:rsidP="00467930">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1</w:t>
      </w:r>
      <w:r w:rsidRPr="00CD41CD">
        <w:rPr>
          <w:rFonts w:eastAsia="SimSun"/>
          <w:bCs/>
          <w:i/>
          <w:szCs w:val="22"/>
        </w:rPr>
        <w:t xml:space="preserve">: </w:t>
      </w:r>
      <w:r w:rsidR="00DF454B">
        <w:rPr>
          <w:rFonts w:eastAsia="SimSun"/>
          <w:b/>
          <w:i/>
          <w:sz w:val="22"/>
          <w:szCs w:val="22"/>
        </w:rPr>
        <w:t>To support</w:t>
      </w:r>
      <w:r w:rsidR="00C27186">
        <w:rPr>
          <w:rFonts w:eastAsia="SimSun"/>
          <w:b/>
          <w:i/>
          <w:sz w:val="22"/>
          <w:szCs w:val="22"/>
        </w:rPr>
        <w:t xml:space="preserve"> Single Tx </w:t>
      </w:r>
      <w:r w:rsidR="00DE36FF">
        <w:rPr>
          <w:rFonts w:eastAsia="SimSun"/>
          <w:b/>
          <w:i/>
          <w:sz w:val="22"/>
          <w:szCs w:val="22"/>
        </w:rPr>
        <w:t>Switched</w:t>
      </w:r>
      <w:r w:rsidR="00C27186">
        <w:rPr>
          <w:rFonts w:eastAsia="SimSun"/>
          <w:b/>
          <w:i/>
          <w:sz w:val="22"/>
          <w:szCs w:val="22"/>
        </w:rPr>
        <w:t xml:space="preserve"> UL </w:t>
      </w:r>
      <w:r w:rsidR="00DE36FF">
        <w:rPr>
          <w:rFonts w:eastAsia="SimSun"/>
          <w:b/>
          <w:i/>
          <w:sz w:val="22"/>
          <w:szCs w:val="22"/>
        </w:rPr>
        <w:t>for</w:t>
      </w:r>
      <w:r w:rsidR="00C27186">
        <w:rPr>
          <w:rFonts w:eastAsia="SimSun"/>
          <w:b/>
          <w:i/>
          <w:sz w:val="22"/>
          <w:szCs w:val="22"/>
        </w:rPr>
        <w:t xml:space="preserve"> EN-DC in LTE TDD band, eIMTA frame work can be used to semi-statically allocate UL resources between LTE and NR in TDM manner</w:t>
      </w:r>
    </w:p>
    <w:p w14:paraId="4021D71F" w14:textId="03AB68D9" w:rsidR="00B57A09" w:rsidRDefault="00C627E4" w:rsidP="00C627E4">
      <w:pPr>
        <w:pStyle w:val="Heading1"/>
      </w:pPr>
      <w:r>
        <w:t>Case</w:t>
      </w:r>
      <w:r w:rsidR="009F2CBD">
        <w:t xml:space="preserve"> 2</w:t>
      </w:r>
      <w:r>
        <w:t xml:space="preserve">: Use </w:t>
      </w:r>
      <w:r w:rsidR="009F2CBD">
        <w:t>G</w:t>
      </w:r>
      <w:r w:rsidR="0022544B">
        <w:t>P</w:t>
      </w:r>
      <w:r w:rsidR="009F2CBD">
        <w:t xml:space="preserve"> and </w:t>
      </w:r>
      <w:r w:rsidR="00B57A09">
        <w:t>UpPTS in LTE special subframe for NR</w:t>
      </w:r>
    </w:p>
    <w:p w14:paraId="712B2FE9" w14:textId="4BCD58AB" w:rsidR="008E0C85" w:rsidRDefault="0013673C" w:rsidP="009D0FEC">
      <w:pPr>
        <w:rPr>
          <w:sz w:val="22"/>
          <w:szCs w:val="20"/>
        </w:rPr>
      </w:pPr>
      <w:r>
        <w:rPr>
          <w:sz w:val="22"/>
          <w:szCs w:val="20"/>
        </w:rPr>
        <w:t>As we mention</w:t>
      </w:r>
      <w:r w:rsidR="00BC16D9">
        <w:rPr>
          <w:sz w:val="22"/>
          <w:szCs w:val="20"/>
        </w:rPr>
        <w:t>ed</w:t>
      </w:r>
      <w:r>
        <w:rPr>
          <w:sz w:val="22"/>
          <w:szCs w:val="20"/>
        </w:rPr>
        <w:t xml:space="preserve"> in the previous section, GP and UpPTS in LTE special subframe can also be semi-statically </w:t>
      </w:r>
      <w:r w:rsidR="008E0C85">
        <w:rPr>
          <w:sz w:val="22"/>
          <w:szCs w:val="20"/>
        </w:rPr>
        <w:t xml:space="preserve">allocated for NR UL. In LTE, UpPTS in special subframe is only used for SRS and short RACH, which does not impact the DL and UL HARQ operation. Therefore, </w:t>
      </w:r>
      <w:r w:rsidR="003D33CE">
        <w:rPr>
          <w:sz w:val="22"/>
          <w:szCs w:val="20"/>
        </w:rPr>
        <w:t xml:space="preserve">via </w:t>
      </w:r>
      <w:r w:rsidR="008E0C85">
        <w:rPr>
          <w:sz w:val="22"/>
          <w:szCs w:val="20"/>
        </w:rPr>
        <w:t>SRS and RACH configuration</w:t>
      </w:r>
      <w:r w:rsidR="0078315C">
        <w:rPr>
          <w:sz w:val="22"/>
          <w:szCs w:val="20"/>
        </w:rPr>
        <w:t>,</w:t>
      </w:r>
      <w:r w:rsidR="008E0C85">
        <w:rPr>
          <w:sz w:val="22"/>
          <w:szCs w:val="20"/>
        </w:rPr>
        <w:t xml:space="preserve"> some UpPTS resource </w:t>
      </w:r>
      <w:r w:rsidR="00663FA1">
        <w:rPr>
          <w:sz w:val="22"/>
          <w:szCs w:val="20"/>
        </w:rPr>
        <w:t xml:space="preserve">can be vacated in LTE </w:t>
      </w:r>
      <w:r w:rsidR="008E0C85">
        <w:rPr>
          <w:sz w:val="22"/>
          <w:szCs w:val="20"/>
        </w:rPr>
        <w:t>to be used for NR.</w:t>
      </w:r>
    </w:p>
    <w:p w14:paraId="0313F03F" w14:textId="77777777" w:rsidR="009B0C1D" w:rsidRDefault="009B0C1D" w:rsidP="009D0FEC">
      <w:pPr>
        <w:rPr>
          <w:sz w:val="22"/>
          <w:szCs w:val="20"/>
        </w:rPr>
      </w:pPr>
    </w:p>
    <w:p w14:paraId="6E70FDF1" w14:textId="77777777" w:rsidR="00E41B7B" w:rsidRDefault="009B0C1D" w:rsidP="009D0FEC">
      <w:pPr>
        <w:rPr>
          <w:sz w:val="22"/>
          <w:szCs w:val="20"/>
        </w:rPr>
      </w:pPr>
      <w:r>
        <w:rPr>
          <w:sz w:val="22"/>
          <w:szCs w:val="20"/>
        </w:rPr>
        <w:t>Using TDD configuration 2 as an example</w:t>
      </w:r>
      <w:r w:rsidR="004018BA">
        <w:rPr>
          <w:sz w:val="22"/>
          <w:szCs w:val="20"/>
        </w:rPr>
        <w:t>,</w:t>
      </w:r>
      <w:r>
        <w:rPr>
          <w:sz w:val="22"/>
          <w:szCs w:val="20"/>
        </w:rPr>
        <w:t xml:space="preserve"> Figure 4 illustrates the Single Tx Switched UL operation for EN-DC in LTE TDD band with NR using GP and UpPTS in the LTE special subframe. For the regular UL subframe (SF2 and SF7), either LTE uses all of them or eIMTA framework can be used to semi-statically partition them between NR and LTE, as discussed in the previous section. For the </w:t>
      </w:r>
      <w:r w:rsidR="004018BA">
        <w:rPr>
          <w:sz w:val="22"/>
          <w:szCs w:val="20"/>
        </w:rPr>
        <w:t>special</w:t>
      </w:r>
      <w:r>
        <w:rPr>
          <w:sz w:val="22"/>
          <w:szCs w:val="20"/>
        </w:rPr>
        <w:t xml:space="preserve"> subframe (SF1 and SF6), NR could use all or part of UpPTS</w:t>
      </w:r>
      <w:r w:rsidR="00D14A4E">
        <w:rPr>
          <w:sz w:val="22"/>
          <w:szCs w:val="20"/>
        </w:rPr>
        <w:t>,</w:t>
      </w:r>
      <w:r>
        <w:rPr>
          <w:sz w:val="22"/>
          <w:szCs w:val="20"/>
        </w:rPr>
        <w:t xml:space="preserve"> as well as some of GP</w:t>
      </w:r>
      <w:r w:rsidR="00D14A4E">
        <w:rPr>
          <w:sz w:val="22"/>
          <w:szCs w:val="20"/>
        </w:rPr>
        <w:t>,</w:t>
      </w:r>
      <w:r>
        <w:rPr>
          <w:sz w:val="22"/>
          <w:szCs w:val="20"/>
        </w:rPr>
        <w:t xml:space="preserve"> as long as LTE SRS and RACH configuration semi-statically vacate </w:t>
      </w:r>
      <w:r w:rsidR="00E41B7B">
        <w:rPr>
          <w:sz w:val="22"/>
          <w:szCs w:val="20"/>
        </w:rPr>
        <w:t>those resources.</w:t>
      </w:r>
    </w:p>
    <w:p w14:paraId="197D1FE8" w14:textId="77777777" w:rsidR="009B0C1D" w:rsidRDefault="009B0C1D" w:rsidP="009D0FEC">
      <w:pPr>
        <w:rPr>
          <w:sz w:val="22"/>
          <w:szCs w:val="20"/>
        </w:rPr>
      </w:pPr>
    </w:p>
    <w:p w14:paraId="65BD346B" w14:textId="77777777" w:rsidR="0078315C" w:rsidRDefault="0078315C" w:rsidP="0078315C">
      <w:pPr>
        <w:keepNext/>
        <w:jc w:val="center"/>
      </w:pPr>
      <w:r>
        <w:rPr>
          <w:noProof/>
          <w:sz w:val="22"/>
          <w:szCs w:val="20"/>
        </w:rPr>
        <w:drawing>
          <wp:inline distT="0" distB="0" distL="0" distR="0" wp14:anchorId="637DCAAC" wp14:editId="6C532039">
            <wp:extent cx="4717473" cy="693991"/>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reen Shot 2018-05-08 at 12.33.09 PM.png"/>
                    <pic:cNvPicPr/>
                  </pic:nvPicPr>
                  <pic:blipFill>
                    <a:blip r:embed="rId11"/>
                    <a:stretch>
                      <a:fillRect/>
                    </a:stretch>
                  </pic:blipFill>
                  <pic:spPr>
                    <a:xfrm>
                      <a:off x="0" y="0"/>
                      <a:ext cx="4776858" cy="702727"/>
                    </a:xfrm>
                    <a:prstGeom prst="rect">
                      <a:avLst/>
                    </a:prstGeom>
                  </pic:spPr>
                </pic:pic>
              </a:graphicData>
            </a:graphic>
          </wp:inline>
        </w:drawing>
      </w:r>
    </w:p>
    <w:p w14:paraId="6331D602" w14:textId="215CC56C" w:rsidR="008E0C85" w:rsidRPr="009B0C1D" w:rsidRDefault="0078315C" w:rsidP="0078315C">
      <w:pPr>
        <w:pStyle w:val="Caption"/>
        <w:rPr>
          <w:sz w:val="21"/>
          <w:szCs w:val="20"/>
        </w:rPr>
      </w:pPr>
      <w:r w:rsidRPr="009B0C1D">
        <w:rPr>
          <w:sz w:val="22"/>
        </w:rPr>
        <w:t xml:space="preserve">Figure </w:t>
      </w:r>
      <w:r w:rsidRPr="009B0C1D">
        <w:rPr>
          <w:sz w:val="22"/>
        </w:rPr>
        <w:fldChar w:fldCharType="begin"/>
      </w:r>
      <w:r w:rsidRPr="009B0C1D">
        <w:rPr>
          <w:sz w:val="22"/>
        </w:rPr>
        <w:instrText xml:space="preserve"> SEQ Figure \* ARABIC </w:instrText>
      </w:r>
      <w:r w:rsidRPr="009B0C1D">
        <w:rPr>
          <w:sz w:val="22"/>
        </w:rPr>
        <w:fldChar w:fldCharType="separate"/>
      </w:r>
      <w:r w:rsidR="009B0C1D">
        <w:rPr>
          <w:noProof/>
          <w:sz w:val="22"/>
        </w:rPr>
        <w:t>4</w:t>
      </w:r>
      <w:r w:rsidRPr="009B0C1D">
        <w:rPr>
          <w:sz w:val="22"/>
        </w:rPr>
        <w:fldChar w:fldCharType="end"/>
      </w:r>
      <w:r w:rsidRPr="009B0C1D">
        <w:rPr>
          <w:sz w:val="22"/>
        </w:rPr>
        <w:t xml:space="preserve"> Single Tx Switched UL for EN-DC in LTE TDD band wit</w:t>
      </w:r>
      <w:r w:rsidR="009B0C1D" w:rsidRPr="009B0C1D">
        <w:rPr>
          <w:sz w:val="22"/>
        </w:rPr>
        <w:t xml:space="preserve">h NR using GP and UpPTS </w:t>
      </w:r>
    </w:p>
    <w:p w14:paraId="5CACF8BB" w14:textId="77777777" w:rsidR="0078315C" w:rsidRDefault="0078315C" w:rsidP="0078315C">
      <w:pPr>
        <w:jc w:val="center"/>
        <w:rPr>
          <w:sz w:val="22"/>
          <w:szCs w:val="20"/>
        </w:rPr>
      </w:pPr>
    </w:p>
    <w:p w14:paraId="55DA77E1" w14:textId="2DBCCF15" w:rsidR="00FC2594" w:rsidRDefault="00A62A8F" w:rsidP="009D0FEC">
      <w:pPr>
        <w:rPr>
          <w:sz w:val="22"/>
          <w:szCs w:val="20"/>
        </w:rPr>
      </w:pPr>
      <w:r>
        <w:rPr>
          <w:sz w:val="22"/>
          <w:szCs w:val="20"/>
        </w:rPr>
        <w:lastRenderedPageBreak/>
        <w:t>Figure 5 provides t</w:t>
      </w:r>
      <w:r w:rsidR="004227AB">
        <w:rPr>
          <w:sz w:val="22"/>
          <w:szCs w:val="20"/>
        </w:rPr>
        <w:t xml:space="preserve">he detailed illustration of the semi-static resource partition in LTE special subframe to support NR UL using GP and/or UpPTS. </w:t>
      </w:r>
      <w:r w:rsidR="00C63B6D">
        <w:rPr>
          <w:sz w:val="22"/>
          <w:szCs w:val="20"/>
        </w:rPr>
        <w:t>We use special subframe configuration 4, 7 and 9 as example</w:t>
      </w:r>
      <w:r w:rsidR="00FC2594">
        <w:rPr>
          <w:sz w:val="22"/>
          <w:szCs w:val="20"/>
        </w:rPr>
        <w:t>s</w:t>
      </w:r>
      <w:r w:rsidR="00C63B6D">
        <w:rPr>
          <w:sz w:val="22"/>
          <w:szCs w:val="20"/>
        </w:rPr>
        <w:t>.</w:t>
      </w:r>
      <w:r w:rsidR="00FC2594">
        <w:rPr>
          <w:sz w:val="22"/>
          <w:szCs w:val="20"/>
        </w:rPr>
        <w:t xml:space="preserve"> Note</w:t>
      </w:r>
    </w:p>
    <w:p w14:paraId="621562FE" w14:textId="77777777" w:rsidR="00FC2594" w:rsidRDefault="00FC2594" w:rsidP="009D0FEC">
      <w:pPr>
        <w:rPr>
          <w:sz w:val="22"/>
          <w:szCs w:val="20"/>
        </w:rPr>
      </w:pPr>
    </w:p>
    <w:p w14:paraId="2090AECB" w14:textId="6C341575" w:rsidR="00FC2594" w:rsidRDefault="00FC2594" w:rsidP="00FC2594">
      <w:pPr>
        <w:pStyle w:val="ListParagraph"/>
        <w:numPr>
          <w:ilvl w:val="0"/>
          <w:numId w:val="31"/>
        </w:numPr>
        <w:rPr>
          <w:rFonts w:ascii="Times New Roman" w:hAnsi="Times New Roman"/>
          <w:szCs w:val="20"/>
        </w:rPr>
      </w:pPr>
      <w:r w:rsidRPr="00FC2594">
        <w:rPr>
          <w:rFonts w:ascii="Times New Roman" w:hAnsi="Times New Roman"/>
          <w:szCs w:val="20"/>
        </w:rPr>
        <w:t xml:space="preserve">Using part of GP for NR UL transmission assumes that the remaining </w:t>
      </w:r>
      <w:r w:rsidR="00ED24B0">
        <w:rPr>
          <w:rFonts w:ascii="Times New Roman" w:hAnsi="Times New Roman"/>
          <w:szCs w:val="20"/>
        </w:rPr>
        <w:t>GP</w:t>
      </w:r>
      <w:r w:rsidRPr="00FC2594">
        <w:rPr>
          <w:rFonts w:ascii="Times New Roman" w:hAnsi="Times New Roman"/>
          <w:szCs w:val="20"/>
        </w:rPr>
        <w:t xml:space="preserve"> is enough to cover </w:t>
      </w:r>
      <w:r>
        <w:rPr>
          <w:rFonts w:ascii="Times New Roman" w:hAnsi="Times New Roman"/>
          <w:szCs w:val="20"/>
        </w:rPr>
        <w:t>RTT and DL/UL switching time, as well as other consideration such as interference avoidance from neighboring NodeB, du</w:t>
      </w:r>
      <w:r w:rsidR="009B0E46">
        <w:rPr>
          <w:rFonts w:ascii="Times New Roman" w:hAnsi="Times New Roman"/>
          <w:szCs w:val="20"/>
        </w:rPr>
        <w:t>r</w:t>
      </w:r>
      <w:r>
        <w:rPr>
          <w:rFonts w:ascii="Times New Roman" w:hAnsi="Times New Roman"/>
          <w:szCs w:val="20"/>
        </w:rPr>
        <w:t>ing the deployment</w:t>
      </w:r>
    </w:p>
    <w:p w14:paraId="584A8BAC" w14:textId="77777777" w:rsidR="00EE1939" w:rsidRDefault="00AC4143" w:rsidP="00FC2594">
      <w:pPr>
        <w:pStyle w:val="ListParagraph"/>
        <w:numPr>
          <w:ilvl w:val="0"/>
          <w:numId w:val="31"/>
        </w:numPr>
        <w:rPr>
          <w:rFonts w:ascii="Times New Roman" w:hAnsi="Times New Roman"/>
          <w:szCs w:val="20"/>
        </w:rPr>
      </w:pPr>
      <w:r>
        <w:rPr>
          <w:rFonts w:ascii="Times New Roman" w:hAnsi="Times New Roman"/>
          <w:szCs w:val="20"/>
        </w:rPr>
        <w:t>To use UpPTS for NR UL, w</w:t>
      </w:r>
      <w:r w:rsidR="008F203D">
        <w:rPr>
          <w:rFonts w:ascii="Times New Roman" w:hAnsi="Times New Roman"/>
          <w:szCs w:val="20"/>
        </w:rPr>
        <w:t xml:space="preserve">e assume </w:t>
      </w:r>
      <w:r w:rsidR="00DA20FC">
        <w:rPr>
          <w:rFonts w:ascii="Times New Roman" w:hAnsi="Times New Roman"/>
          <w:szCs w:val="20"/>
        </w:rPr>
        <w:t xml:space="preserve">that </w:t>
      </w:r>
      <w:r w:rsidR="008F203D">
        <w:rPr>
          <w:rFonts w:ascii="Times New Roman" w:hAnsi="Times New Roman"/>
          <w:szCs w:val="20"/>
        </w:rPr>
        <w:t xml:space="preserve">LTE configurates SRS </w:t>
      </w:r>
      <w:r w:rsidR="000C1BF0">
        <w:rPr>
          <w:rFonts w:ascii="Times New Roman" w:hAnsi="Times New Roman"/>
          <w:szCs w:val="20"/>
        </w:rPr>
        <w:t>and</w:t>
      </w:r>
      <w:r w:rsidR="008F203D">
        <w:rPr>
          <w:rFonts w:ascii="Times New Roman" w:hAnsi="Times New Roman"/>
          <w:szCs w:val="20"/>
        </w:rPr>
        <w:t xml:space="preserve"> PRACH such that part or all of the symbols in UpPTS in some special subframes</w:t>
      </w:r>
      <w:r w:rsidR="00EE1939">
        <w:rPr>
          <w:rFonts w:ascii="Times New Roman" w:hAnsi="Times New Roman"/>
          <w:szCs w:val="20"/>
        </w:rPr>
        <w:t xml:space="preserve"> are unused for LTE</w:t>
      </w:r>
    </w:p>
    <w:p w14:paraId="53C750F4" w14:textId="0D1F4B2F" w:rsidR="00C63B6D" w:rsidRDefault="00EE1939" w:rsidP="00FC2594">
      <w:pPr>
        <w:pStyle w:val="ListParagraph"/>
        <w:numPr>
          <w:ilvl w:val="0"/>
          <w:numId w:val="31"/>
        </w:numPr>
        <w:rPr>
          <w:rFonts w:ascii="Times New Roman" w:hAnsi="Times New Roman"/>
          <w:szCs w:val="20"/>
        </w:rPr>
      </w:pPr>
      <w:r>
        <w:rPr>
          <w:rFonts w:ascii="Times New Roman" w:hAnsi="Times New Roman"/>
          <w:szCs w:val="20"/>
        </w:rPr>
        <w:t>For special subframe configuration 4, the GP is only 1 symbol of 15kHz SCS.</w:t>
      </w:r>
      <w:r w:rsidR="008F203D">
        <w:rPr>
          <w:rFonts w:ascii="Times New Roman" w:hAnsi="Times New Roman"/>
          <w:szCs w:val="20"/>
        </w:rPr>
        <w:t xml:space="preserve"> </w:t>
      </w:r>
      <w:r>
        <w:rPr>
          <w:rFonts w:ascii="Times New Roman" w:hAnsi="Times New Roman"/>
          <w:szCs w:val="20"/>
        </w:rPr>
        <w:t>NR can use 30kHz S</w:t>
      </w:r>
      <w:r w:rsidR="00330033">
        <w:rPr>
          <w:rFonts w:ascii="Times New Roman" w:hAnsi="Times New Roman"/>
          <w:szCs w:val="20"/>
        </w:rPr>
        <w:t xml:space="preserve">CS symbol to </w:t>
      </w:r>
      <w:r w:rsidR="0095403A">
        <w:rPr>
          <w:rFonts w:ascii="Times New Roman" w:hAnsi="Times New Roman"/>
          <w:szCs w:val="20"/>
        </w:rPr>
        <w:t>utilize the second</w:t>
      </w:r>
      <w:r w:rsidR="00330033">
        <w:rPr>
          <w:rFonts w:ascii="Times New Roman" w:hAnsi="Times New Roman"/>
          <w:szCs w:val="20"/>
        </w:rPr>
        <w:t xml:space="preserve"> half of the GP</w:t>
      </w:r>
      <w:r w:rsidR="00DA1DF4">
        <w:rPr>
          <w:rFonts w:ascii="Times New Roman" w:hAnsi="Times New Roman"/>
          <w:szCs w:val="20"/>
        </w:rPr>
        <w:t>.</w:t>
      </w:r>
    </w:p>
    <w:p w14:paraId="41BC4D16" w14:textId="77777777" w:rsidR="001A33C5" w:rsidRPr="00FC2594" w:rsidRDefault="001A33C5" w:rsidP="006E22AE">
      <w:pPr>
        <w:pStyle w:val="ListParagraph"/>
        <w:rPr>
          <w:rFonts w:ascii="Times New Roman" w:hAnsi="Times New Roman"/>
          <w:szCs w:val="20"/>
        </w:rPr>
      </w:pPr>
    </w:p>
    <w:p w14:paraId="676DFDEB" w14:textId="77777777" w:rsidR="009B0C1D" w:rsidRDefault="009B0C1D" w:rsidP="009B0C1D">
      <w:pPr>
        <w:keepNext/>
        <w:jc w:val="center"/>
      </w:pPr>
      <w:r>
        <w:rPr>
          <w:noProof/>
          <w:sz w:val="22"/>
          <w:szCs w:val="20"/>
        </w:rPr>
        <w:drawing>
          <wp:inline distT="0" distB="0" distL="0" distR="0" wp14:anchorId="59E28C89" wp14:editId="3CCFDFC9">
            <wp:extent cx="5115689" cy="2432858"/>
            <wp:effectExtent l="0" t="0" r="254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creen Shot 2018-05-08 at 12.42.49 PM.png"/>
                    <pic:cNvPicPr/>
                  </pic:nvPicPr>
                  <pic:blipFill>
                    <a:blip r:embed="rId12"/>
                    <a:stretch>
                      <a:fillRect/>
                    </a:stretch>
                  </pic:blipFill>
                  <pic:spPr>
                    <a:xfrm>
                      <a:off x="0" y="0"/>
                      <a:ext cx="5130832" cy="2440060"/>
                    </a:xfrm>
                    <a:prstGeom prst="rect">
                      <a:avLst/>
                    </a:prstGeom>
                  </pic:spPr>
                </pic:pic>
              </a:graphicData>
            </a:graphic>
          </wp:inline>
        </w:drawing>
      </w:r>
    </w:p>
    <w:p w14:paraId="224574E9" w14:textId="450A0402" w:rsidR="009B0C1D" w:rsidRPr="009B0C1D" w:rsidRDefault="009B0C1D" w:rsidP="009B0C1D">
      <w:pPr>
        <w:pStyle w:val="Caption"/>
        <w:rPr>
          <w:sz w:val="21"/>
          <w:szCs w:val="20"/>
        </w:rPr>
      </w:pPr>
      <w:r w:rsidRPr="009B0C1D">
        <w:rPr>
          <w:sz w:val="22"/>
        </w:rPr>
        <w:t xml:space="preserve">Figure </w:t>
      </w:r>
      <w:r w:rsidRPr="009B0C1D">
        <w:rPr>
          <w:sz w:val="22"/>
        </w:rPr>
        <w:fldChar w:fldCharType="begin"/>
      </w:r>
      <w:r w:rsidRPr="009B0C1D">
        <w:rPr>
          <w:sz w:val="22"/>
        </w:rPr>
        <w:instrText xml:space="preserve"> SEQ Figure \* ARABIC </w:instrText>
      </w:r>
      <w:r w:rsidRPr="009B0C1D">
        <w:rPr>
          <w:sz w:val="22"/>
        </w:rPr>
        <w:fldChar w:fldCharType="separate"/>
      </w:r>
      <w:r w:rsidRPr="009B0C1D">
        <w:rPr>
          <w:noProof/>
          <w:sz w:val="22"/>
        </w:rPr>
        <w:t>5</w:t>
      </w:r>
      <w:r w:rsidRPr="009B0C1D">
        <w:rPr>
          <w:sz w:val="22"/>
        </w:rPr>
        <w:fldChar w:fldCharType="end"/>
      </w:r>
      <w:r>
        <w:rPr>
          <w:sz w:val="22"/>
        </w:rPr>
        <w:t xml:space="preserve"> Semi-Static Resource partition in LTE special subframe for NR UL</w:t>
      </w:r>
    </w:p>
    <w:p w14:paraId="6254D113" w14:textId="3A214570" w:rsidR="001209F6" w:rsidRDefault="001209F6" w:rsidP="001209F6">
      <w:r>
        <w:t>Based on the discussion, we have the following observation</w:t>
      </w:r>
    </w:p>
    <w:p w14:paraId="6AE5B76B" w14:textId="77777777" w:rsidR="001209F6" w:rsidRDefault="001209F6" w:rsidP="001209F6">
      <w:pPr>
        <w:rPr>
          <w:rFonts w:eastAsia="SimSun"/>
          <w:b/>
          <w:bCs/>
          <w:i/>
          <w:sz w:val="22"/>
          <w:szCs w:val="22"/>
          <w:u w:val="single"/>
        </w:rPr>
      </w:pPr>
    </w:p>
    <w:p w14:paraId="77B70FD7" w14:textId="13F8D9A2" w:rsidR="007B0C78" w:rsidRDefault="001209F6" w:rsidP="001209F6">
      <w:pPr>
        <w:rPr>
          <w:rFonts w:eastAsia="SimSun"/>
          <w:b/>
          <w:i/>
          <w:sz w:val="22"/>
          <w:szCs w:val="22"/>
        </w:rPr>
      </w:pPr>
      <w:r w:rsidRPr="0083483D">
        <w:rPr>
          <w:rFonts w:eastAsia="SimSun"/>
          <w:b/>
          <w:bCs/>
          <w:i/>
          <w:sz w:val="22"/>
          <w:szCs w:val="22"/>
          <w:u w:val="single"/>
        </w:rPr>
        <w:t xml:space="preserve">Observation </w:t>
      </w:r>
      <w:r w:rsidR="007970C9">
        <w:rPr>
          <w:rFonts w:eastAsia="SimSun"/>
          <w:b/>
          <w:bCs/>
          <w:i/>
          <w:sz w:val="22"/>
          <w:szCs w:val="22"/>
          <w:u w:val="single"/>
        </w:rPr>
        <w:t>2</w:t>
      </w:r>
      <w:r w:rsidRPr="00CD41CD">
        <w:rPr>
          <w:rFonts w:eastAsia="SimSun"/>
          <w:bCs/>
          <w:i/>
          <w:szCs w:val="22"/>
        </w:rPr>
        <w:t xml:space="preserve">: </w:t>
      </w:r>
      <w:r>
        <w:rPr>
          <w:rFonts w:eastAsia="SimSun"/>
          <w:b/>
          <w:i/>
          <w:sz w:val="22"/>
          <w:szCs w:val="22"/>
        </w:rPr>
        <w:t xml:space="preserve">To support Single Tx Switched UL for EN-DC in LTE TDD band, </w:t>
      </w:r>
      <w:r w:rsidR="007B0C78">
        <w:rPr>
          <w:rFonts w:eastAsia="SimSun"/>
          <w:b/>
          <w:i/>
          <w:sz w:val="22"/>
          <w:szCs w:val="22"/>
        </w:rPr>
        <w:t>GP and UpPTS in LTE special subframe can b</w:t>
      </w:r>
      <w:r w:rsidR="00DD60DE">
        <w:rPr>
          <w:rFonts w:eastAsia="SimSun"/>
          <w:b/>
          <w:i/>
          <w:sz w:val="22"/>
          <w:szCs w:val="22"/>
        </w:rPr>
        <w:t>e</w:t>
      </w:r>
      <w:r w:rsidR="007B0C78">
        <w:rPr>
          <w:rFonts w:eastAsia="SimSun"/>
          <w:b/>
          <w:i/>
          <w:sz w:val="22"/>
          <w:szCs w:val="22"/>
        </w:rPr>
        <w:t xml:space="preserve"> semi-statically allocated for NR UL.</w:t>
      </w:r>
    </w:p>
    <w:p w14:paraId="3294C8D3" w14:textId="77777777" w:rsidR="00DA4C1D" w:rsidRPr="00E93FCE" w:rsidRDefault="00DA4C1D" w:rsidP="00DA4C1D">
      <w:pPr>
        <w:rPr>
          <w:sz w:val="22"/>
        </w:rPr>
      </w:pPr>
    </w:p>
    <w:p w14:paraId="17890FA0" w14:textId="39B150CB" w:rsidR="00654221" w:rsidRDefault="00654221" w:rsidP="00A5358E">
      <w:pPr>
        <w:pStyle w:val="Heading1"/>
      </w:pPr>
      <w:r>
        <w:t>Impact on other WGs to support Single Tx Switched UL for EN-DC in LTE TDD band</w:t>
      </w:r>
    </w:p>
    <w:p w14:paraId="5A6E0E4A" w14:textId="6C5F82C7" w:rsidR="00740F0B" w:rsidRDefault="00654221" w:rsidP="00652FFC">
      <w:pPr>
        <w:rPr>
          <w:sz w:val="22"/>
        </w:rPr>
      </w:pPr>
      <w:r>
        <w:rPr>
          <w:sz w:val="22"/>
        </w:rPr>
        <w:t>In this section, we brief</w:t>
      </w:r>
      <w:r w:rsidR="00FE0CDF">
        <w:rPr>
          <w:sz w:val="22"/>
        </w:rPr>
        <w:t>ly</w:t>
      </w:r>
      <w:r>
        <w:rPr>
          <w:sz w:val="22"/>
        </w:rPr>
        <w:t xml:space="preserve"> </w:t>
      </w:r>
      <w:r w:rsidR="00740F0B">
        <w:rPr>
          <w:sz w:val="22"/>
        </w:rPr>
        <w:t>discuss the potential impact to other WGs in order to support Single Tx Switched UL for EN-DC in LTE TDD band</w:t>
      </w:r>
    </w:p>
    <w:p w14:paraId="32A9FF59" w14:textId="77777777" w:rsidR="00740F0B" w:rsidRDefault="00740F0B" w:rsidP="00652FFC">
      <w:pPr>
        <w:rPr>
          <w:sz w:val="22"/>
        </w:rPr>
      </w:pPr>
    </w:p>
    <w:p w14:paraId="3EB5BA98" w14:textId="6CD4C7C9" w:rsidR="00740F0B" w:rsidRPr="009A5832" w:rsidRDefault="00740F0B" w:rsidP="00740F0B">
      <w:pPr>
        <w:jc w:val="both"/>
        <w:rPr>
          <w:sz w:val="22"/>
          <w:szCs w:val="22"/>
        </w:rPr>
      </w:pPr>
      <w:r w:rsidRPr="009A5832">
        <w:rPr>
          <w:sz w:val="22"/>
          <w:szCs w:val="22"/>
        </w:rPr>
        <w:t>RAN2:</w:t>
      </w:r>
      <w:r>
        <w:rPr>
          <w:sz w:val="22"/>
          <w:szCs w:val="22"/>
        </w:rPr>
        <w:t xml:space="preserve"> </w:t>
      </w:r>
      <w:r w:rsidR="002E1738">
        <w:rPr>
          <w:sz w:val="22"/>
          <w:szCs w:val="22"/>
        </w:rPr>
        <w:t>No Impact</w:t>
      </w:r>
      <w:r w:rsidR="004A5658">
        <w:rPr>
          <w:sz w:val="22"/>
          <w:szCs w:val="22"/>
        </w:rPr>
        <w:t xml:space="preserve"> unless similar signaling is </w:t>
      </w:r>
      <w:r w:rsidR="009706AD">
        <w:rPr>
          <w:sz w:val="22"/>
          <w:szCs w:val="22"/>
        </w:rPr>
        <w:t>preferred/</w:t>
      </w:r>
      <w:r w:rsidR="004A5658">
        <w:rPr>
          <w:sz w:val="22"/>
          <w:szCs w:val="22"/>
        </w:rPr>
        <w:t xml:space="preserve">needed to separate the eIMTA UE operation with Single Tx </w:t>
      </w:r>
      <w:r w:rsidR="009706AD">
        <w:rPr>
          <w:sz w:val="22"/>
          <w:szCs w:val="22"/>
        </w:rPr>
        <w:t>Switched</w:t>
      </w:r>
      <w:r w:rsidR="004A5658">
        <w:rPr>
          <w:sz w:val="22"/>
          <w:szCs w:val="22"/>
        </w:rPr>
        <w:t xml:space="preserve"> UL operation </w:t>
      </w:r>
    </w:p>
    <w:p w14:paraId="7A1CD2D2" w14:textId="00E34F9A" w:rsidR="00740F0B" w:rsidRDefault="00740F0B" w:rsidP="00740F0B">
      <w:pPr>
        <w:pStyle w:val="ListParagraph"/>
        <w:numPr>
          <w:ilvl w:val="0"/>
          <w:numId w:val="32"/>
        </w:numPr>
        <w:jc w:val="both"/>
        <w:rPr>
          <w:rFonts w:ascii="Times New Roman" w:hAnsi="Times New Roman"/>
        </w:rPr>
      </w:pPr>
      <w:r w:rsidRPr="009A5832">
        <w:rPr>
          <w:rFonts w:ascii="Times New Roman" w:hAnsi="Times New Roman"/>
        </w:rPr>
        <w:t xml:space="preserve">UE capability signaling </w:t>
      </w:r>
      <w:r>
        <w:rPr>
          <w:rFonts w:ascii="Times New Roman" w:hAnsi="Times New Roman"/>
        </w:rPr>
        <w:t xml:space="preserve">of single UL operation is already defined for band </w:t>
      </w:r>
      <w:r w:rsidR="00776800">
        <w:rPr>
          <w:rFonts w:ascii="Times New Roman" w:hAnsi="Times New Roman"/>
        </w:rPr>
        <w:t>combinations that allow Single Tx Sw</w:t>
      </w:r>
      <w:r w:rsidR="00C410AA">
        <w:rPr>
          <w:rFonts w:ascii="Times New Roman" w:hAnsi="Times New Roman"/>
        </w:rPr>
        <w:t>i</w:t>
      </w:r>
      <w:r w:rsidR="00776800">
        <w:rPr>
          <w:rFonts w:ascii="Times New Roman" w:hAnsi="Times New Roman"/>
        </w:rPr>
        <w:t>tched UL operation</w:t>
      </w:r>
    </w:p>
    <w:p w14:paraId="0031F8F5" w14:textId="41B2448D" w:rsidR="00740F0B" w:rsidRPr="008C019F" w:rsidRDefault="008C019F" w:rsidP="00C410AA">
      <w:pPr>
        <w:pStyle w:val="ListParagraph"/>
        <w:numPr>
          <w:ilvl w:val="0"/>
          <w:numId w:val="32"/>
        </w:numPr>
        <w:jc w:val="both"/>
        <w:rPr>
          <w:rFonts w:ascii="Times New Roman" w:hAnsi="Times New Roman"/>
        </w:rPr>
      </w:pPr>
      <w:r>
        <w:rPr>
          <w:rFonts w:ascii="Times New Roman" w:hAnsi="Times New Roman"/>
        </w:rPr>
        <w:t xml:space="preserve">eIMTA </w:t>
      </w:r>
      <w:r w:rsidR="00D30160">
        <w:rPr>
          <w:rFonts w:ascii="Times New Roman" w:hAnsi="Times New Roman"/>
        </w:rPr>
        <w:t xml:space="preserve">has </w:t>
      </w:r>
      <w:r>
        <w:rPr>
          <w:rFonts w:ascii="Times New Roman" w:hAnsi="Times New Roman"/>
        </w:rPr>
        <w:t>already introduce</w:t>
      </w:r>
      <w:r w:rsidR="00C410AA">
        <w:rPr>
          <w:rFonts w:ascii="Times New Roman" w:hAnsi="Times New Roman"/>
        </w:rPr>
        <w:t>d</w:t>
      </w:r>
      <w:r>
        <w:rPr>
          <w:rFonts w:ascii="Times New Roman" w:hAnsi="Times New Roman"/>
        </w:rPr>
        <w:t xml:space="preserve"> the </w:t>
      </w:r>
      <w:r w:rsidR="00740F0B">
        <w:rPr>
          <w:rFonts w:ascii="Times New Roman" w:hAnsi="Times New Roman"/>
        </w:rPr>
        <w:t xml:space="preserve">RRC signaling for </w:t>
      </w:r>
      <w:r w:rsidRPr="008C019F">
        <w:rPr>
          <w:rFonts w:ascii="Times New Roman" w:hAnsi="Times New Roman"/>
        </w:rPr>
        <w:t>DL HARQ reference configuration</w:t>
      </w:r>
      <w:r>
        <w:rPr>
          <w:rFonts w:ascii="Times New Roman" w:hAnsi="Times New Roman"/>
        </w:rPr>
        <w:t>, i.e.</w:t>
      </w:r>
      <w:r w:rsidR="00C410AA">
        <w:rPr>
          <w:rFonts w:ascii="Times New Roman" w:hAnsi="Times New Roman"/>
        </w:rPr>
        <w:t xml:space="preserve"> “</w:t>
      </w:r>
      <w:r w:rsidR="00C410AA" w:rsidRPr="00C410AA">
        <w:rPr>
          <w:rFonts w:ascii="Times New Roman" w:hAnsi="Times New Roman"/>
          <w:i/>
        </w:rPr>
        <w:t>EIMTA-MainConfig</w:t>
      </w:r>
      <w:r w:rsidR="00C410AA">
        <w:rPr>
          <w:rFonts w:ascii="Times New Roman" w:hAnsi="Times New Roman"/>
        </w:rPr>
        <w:t>”</w:t>
      </w:r>
    </w:p>
    <w:p w14:paraId="18287898" w14:textId="0D8BB8F8" w:rsidR="00740F0B" w:rsidRDefault="00740F0B" w:rsidP="00740F0B">
      <w:pPr>
        <w:jc w:val="both"/>
        <w:rPr>
          <w:sz w:val="22"/>
          <w:szCs w:val="22"/>
        </w:rPr>
      </w:pPr>
      <w:r w:rsidRPr="009A5832">
        <w:rPr>
          <w:sz w:val="22"/>
          <w:szCs w:val="22"/>
        </w:rPr>
        <w:t>RAN3:</w:t>
      </w:r>
      <w:r w:rsidR="00E4383C">
        <w:rPr>
          <w:sz w:val="22"/>
          <w:szCs w:val="22"/>
        </w:rPr>
        <w:t xml:space="preserve"> No Impact</w:t>
      </w:r>
    </w:p>
    <w:p w14:paraId="63A70B6D" w14:textId="2FAD598B" w:rsidR="00740F0B" w:rsidRPr="009A5832" w:rsidRDefault="00740F0B" w:rsidP="00D30160">
      <w:pPr>
        <w:pStyle w:val="ListParagraph"/>
        <w:numPr>
          <w:ilvl w:val="0"/>
          <w:numId w:val="32"/>
        </w:numPr>
        <w:jc w:val="both"/>
        <w:rPr>
          <w:rFonts w:ascii="Times New Roman" w:hAnsi="Times New Roman"/>
        </w:rPr>
      </w:pPr>
      <w:r>
        <w:rPr>
          <w:rFonts w:ascii="Times New Roman" w:hAnsi="Times New Roman"/>
        </w:rPr>
        <w:t>X2/Xn signaling</w:t>
      </w:r>
      <w:r w:rsidR="00D30160">
        <w:rPr>
          <w:rFonts w:ascii="Times New Roman" w:hAnsi="Times New Roman"/>
        </w:rPr>
        <w:t>, i.e. “</w:t>
      </w:r>
      <w:r w:rsidR="00D30160" w:rsidRPr="00D30160">
        <w:rPr>
          <w:rFonts w:ascii="Times New Roman" w:hAnsi="Times New Roman"/>
        </w:rPr>
        <w:t>UL Coordination Information</w:t>
      </w:r>
      <w:r w:rsidR="00D30160">
        <w:rPr>
          <w:rFonts w:ascii="Times New Roman" w:hAnsi="Times New Roman"/>
        </w:rPr>
        <w:t>”,</w:t>
      </w:r>
      <w:r>
        <w:rPr>
          <w:rFonts w:ascii="Times New Roman" w:hAnsi="Times New Roman"/>
        </w:rPr>
        <w:t xml:space="preserve"> </w:t>
      </w:r>
      <w:r w:rsidR="00D30160">
        <w:rPr>
          <w:rFonts w:ascii="Times New Roman" w:hAnsi="Times New Roman"/>
        </w:rPr>
        <w:t>has been introduced t</w:t>
      </w:r>
      <w:r w:rsidR="00821DDA">
        <w:rPr>
          <w:rFonts w:ascii="Times New Roman" w:hAnsi="Times New Roman"/>
        </w:rPr>
        <w:t xml:space="preserve">o </w:t>
      </w:r>
      <w:r>
        <w:rPr>
          <w:rFonts w:ascii="Times New Roman" w:hAnsi="Times New Roman"/>
        </w:rPr>
        <w:t xml:space="preserve">coordinate between LTE eNB and NR gNB about the UL </w:t>
      </w:r>
      <w:r w:rsidR="0075190A">
        <w:rPr>
          <w:rFonts w:ascii="Times New Roman" w:hAnsi="Times New Roman"/>
        </w:rPr>
        <w:t xml:space="preserve">resource partition between </w:t>
      </w:r>
      <w:r>
        <w:rPr>
          <w:rFonts w:ascii="Times New Roman" w:hAnsi="Times New Roman"/>
        </w:rPr>
        <w:t>LTE and NR. (TS36.423/TS38.423)</w:t>
      </w:r>
    </w:p>
    <w:p w14:paraId="1A6E4340" w14:textId="4BDB3A63" w:rsidR="00740F0B" w:rsidRDefault="00740F0B" w:rsidP="00740F0B">
      <w:pPr>
        <w:jc w:val="both"/>
        <w:rPr>
          <w:sz w:val="22"/>
          <w:szCs w:val="22"/>
        </w:rPr>
      </w:pPr>
      <w:r w:rsidRPr="009A5832">
        <w:rPr>
          <w:sz w:val="22"/>
          <w:szCs w:val="22"/>
        </w:rPr>
        <w:t>RAN4:</w:t>
      </w:r>
      <w:r w:rsidR="000D2961">
        <w:rPr>
          <w:sz w:val="22"/>
          <w:szCs w:val="22"/>
        </w:rPr>
        <w:t xml:space="preserve"> No Impact except the potential expansion of difficult band combinations that allows the UE to signal that it does not support dual Tx operation.</w:t>
      </w:r>
    </w:p>
    <w:p w14:paraId="4545206A" w14:textId="3A017C90" w:rsidR="00A81F82" w:rsidRDefault="00A81F82" w:rsidP="00740F0B">
      <w:pPr>
        <w:pStyle w:val="ListParagraph"/>
        <w:numPr>
          <w:ilvl w:val="0"/>
          <w:numId w:val="32"/>
        </w:numPr>
        <w:jc w:val="both"/>
        <w:rPr>
          <w:rFonts w:ascii="Times New Roman" w:hAnsi="Times New Roman"/>
        </w:rPr>
      </w:pPr>
      <w:r>
        <w:rPr>
          <w:rFonts w:ascii="Times New Roman" w:hAnsi="Times New Roman"/>
        </w:rPr>
        <w:t>Band 41 is already identif</w:t>
      </w:r>
      <w:r w:rsidR="00F135A8">
        <w:rPr>
          <w:rFonts w:ascii="Times New Roman" w:hAnsi="Times New Roman"/>
        </w:rPr>
        <w:t>ied in RAN4 t</w:t>
      </w:r>
      <w:r>
        <w:rPr>
          <w:rFonts w:ascii="Times New Roman" w:hAnsi="Times New Roman"/>
        </w:rPr>
        <w:t>hat allows UE to operat</w:t>
      </w:r>
      <w:r w:rsidR="000D2961">
        <w:rPr>
          <w:rFonts w:ascii="Times New Roman" w:hAnsi="Times New Roman"/>
        </w:rPr>
        <w:t>e</w:t>
      </w:r>
      <w:r>
        <w:rPr>
          <w:rFonts w:ascii="Times New Roman" w:hAnsi="Times New Roman"/>
        </w:rPr>
        <w:t xml:space="preserve"> in Single Tx Switched UL mode.</w:t>
      </w:r>
    </w:p>
    <w:p w14:paraId="72B8B87C" w14:textId="77777777" w:rsidR="00124761" w:rsidRDefault="00124761" w:rsidP="00652FFC"/>
    <w:p w14:paraId="2896E657" w14:textId="77777777" w:rsidR="00854A60" w:rsidRPr="00FB330B" w:rsidRDefault="009C5A97" w:rsidP="00FB330B">
      <w:pPr>
        <w:pStyle w:val="Heading1"/>
      </w:pPr>
      <w:r w:rsidRPr="00FB330B">
        <w:lastRenderedPageBreak/>
        <w:t>Conclusion</w:t>
      </w:r>
      <w:r w:rsidR="004424BC" w:rsidRPr="00FB330B">
        <w:t>s</w:t>
      </w:r>
    </w:p>
    <w:p w14:paraId="675CC14E" w14:textId="465E29FA" w:rsidR="00B1677C" w:rsidRDefault="00A91516" w:rsidP="000A1967">
      <w:pPr>
        <w:rPr>
          <w:rFonts w:eastAsia="MS Mincho"/>
          <w:sz w:val="22"/>
          <w:szCs w:val="22"/>
          <w:lang w:eastAsia="ja-JP"/>
        </w:rPr>
      </w:pPr>
      <w:r>
        <w:rPr>
          <w:rFonts w:eastAsia="MS Mincho"/>
          <w:sz w:val="22"/>
          <w:szCs w:val="22"/>
          <w:lang w:eastAsia="ja-JP"/>
        </w:rPr>
        <w:t xml:space="preserve">In RAN4 </w:t>
      </w:r>
      <w:r w:rsidR="00CE5519">
        <w:rPr>
          <w:rFonts w:eastAsia="MS Mincho"/>
          <w:sz w:val="22"/>
          <w:szCs w:val="22"/>
          <w:lang w:eastAsia="ja-JP"/>
        </w:rPr>
        <w:t xml:space="preserve">#86bis meeting [8], it was agreed to allow Single Tx Switched UL operation for EN-DC in band 41. Band 41 is a TDD band </w:t>
      </w:r>
      <w:r w:rsidR="00E403C9">
        <w:rPr>
          <w:rFonts w:eastAsia="MS Mincho"/>
          <w:sz w:val="22"/>
          <w:szCs w:val="22"/>
          <w:lang w:eastAsia="ja-JP"/>
        </w:rPr>
        <w:t>for</w:t>
      </w:r>
      <w:r w:rsidR="00CE5519">
        <w:rPr>
          <w:rFonts w:eastAsia="MS Mincho"/>
          <w:sz w:val="22"/>
          <w:szCs w:val="22"/>
          <w:lang w:eastAsia="ja-JP"/>
        </w:rPr>
        <w:t xml:space="preserve"> which Single Tx Switched UL operation has not been discussed in RAN1. </w:t>
      </w:r>
      <w:r w:rsidR="000A1967">
        <w:rPr>
          <w:rFonts w:eastAsia="MS Mincho"/>
          <w:sz w:val="22"/>
          <w:szCs w:val="22"/>
          <w:lang w:eastAsia="ja-JP"/>
        </w:rPr>
        <w:t xml:space="preserve">In this contribution, we provide </w:t>
      </w:r>
      <w:r w:rsidR="00AF66E7">
        <w:rPr>
          <w:rFonts w:eastAsia="MS Mincho"/>
          <w:sz w:val="22"/>
          <w:szCs w:val="22"/>
          <w:lang w:eastAsia="ja-JP"/>
        </w:rPr>
        <w:t>two solutions that can semi-statically allocate UL resource</w:t>
      </w:r>
      <w:r w:rsidR="007A7202">
        <w:rPr>
          <w:rFonts w:eastAsia="MS Mincho"/>
          <w:sz w:val="22"/>
          <w:szCs w:val="22"/>
          <w:lang w:eastAsia="ja-JP"/>
        </w:rPr>
        <w:t>s</w:t>
      </w:r>
      <w:r w:rsidR="00AF66E7">
        <w:rPr>
          <w:rFonts w:eastAsia="MS Mincho"/>
          <w:sz w:val="22"/>
          <w:szCs w:val="22"/>
          <w:lang w:eastAsia="ja-JP"/>
        </w:rPr>
        <w:t xml:space="preserve"> between LTE and NR </w:t>
      </w:r>
      <w:r w:rsidR="00B1677C">
        <w:rPr>
          <w:rFonts w:eastAsia="MS Mincho"/>
          <w:sz w:val="22"/>
          <w:szCs w:val="22"/>
          <w:lang w:eastAsia="ja-JP"/>
        </w:rPr>
        <w:t>in LTE TDD band to enable Single Tx Switched UL operation for EN-DC. The two solutions are</w:t>
      </w:r>
    </w:p>
    <w:p w14:paraId="3909782D" w14:textId="77777777" w:rsidR="00B1677C" w:rsidRDefault="00B1677C" w:rsidP="000A1967">
      <w:pPr>
        <w:rPr>
          <w:rFonts w:eastAsia="MS Mincho"/>
          <w:sz w:val="22"/>
          <w:szCs w:val="22"/>
          <w:lang w:eastAsia="ja-JP"/>
        </w:rPr>
      </w:pPr>
    </w:p>
    <w:p w14:paraId="6B0F98E6" w14:textId="77777777" w:rsidR="00184A9B" w:rsidRDefault="00184A9B" w:rsidP="00184A9B">
      <w:pPr>
        <w:pStyle w:val="ListParagraph"/>
        <w:numPr>
          <w:ilvl w:val="0"/>
          <w:numId w:val="33"/>
        </w:numPr>
        <w:jc w:val="both"/>
        <w:rPr>
          <w:rFonts w:ascii="Times New Roman" w:hAnsi="Times New Roman"/>
        </w:rPr>
      </w:pPr>
      <w:r>
        <w:rPr>
          <w:rFonts w:ascii="Times New Roman" w:hAnsi="Times New Roman"/>
        </w:rPr>
        <w:t xml:space="preserve">Case 1: Use </w:t>
      </w:r>
      <w:r w:rsidRPr="00057C12">
        <w:rPr>
          <w:rFonts w:ascii="Times New Roman" w:hAnsi="Times New Roman"/>
        </w:rPr>
        <w:t>eIMTA design to semi-statically allocate the UL resource between LTE and NR in TDM manner</w:t>
      </w:r>
    </w:p>
    <w:p w14:paraId="5069A03F" w14:textId="77777777" w:rsidR="00184A9B" w:rsidRPr="00057C12" w:rsidRDefault="00184A9B" w:rsidP="00184A9B">
      <w:pPr>
        <w:pStyle w:val="ListParagraph"/>
        <w:numPr>
          <w:ilvl w:val="0"/>
          <w:numId w:val="33"/>
        </w:numPr>
        <w:jc w:val="both"/>
        <w:rPr>
          <w:rFonts w:ascii="Times New Roman" w:hAnsi="Times New Roman"/>
        </w:rPr>
      </w:pPr>
      <w:r>
        <w:rPr>
          <w:rFonts w:ascii="Times New Roman" w:hAnsi="Times New Roman"/>
        </w:rPr>
        <w:t>Case 2: Use</w:t>
      </w:r>
      <w:r w:rsidRPr="00057C12">
        <w:rPr>
          <w:rFonts w:ascii="Times New Roman" w:hAnsi="Times New Roman"/>
        </w:rPr>
        <w:t xml:space="preserve"> the G</w:t>
      </w:r>
      <w:r>
        <w:rPr>
          <w:rFonts w:ascii="Times New Roman" w:hAnsi="Times New Roman"/>
        </w:rPr>
        <w:t>P</w:t>
      </w:r>
      <w:r w:rsidRPr="00057C12">
        <w:rPr>
          <w:rFonts w:ascii="Times New Roman" w:hAnsi="Times New Roman"/>
        </w:rPr>
        <w:t xml:space="preserve"> and UpPTS in special subframes of LTE</w:t>
      </w:r>
      <w:r>
        <w:rPr>
          <w:rFonts w:ascii="Times New Roman" w:hAnsi="Times New Roman"/>
        </w:rPr>
        <w:t xml:space="preserve"> for NR</w:t>
      </w:r>
    </w:p>
    <w:p w14:paraId="31745016" w14:textId="77777777" w:rsidR="00E32950" w:rsidRDefault="00E32950" w:rsidP="000A1967">
      <w:pPr>
        <w:rPr>
          <w:rFonts w:eastAsia="MS Mincho"/>
          <w:sz w:val="22"/>
          <w:szCs w:val="22"/>
          <w:lang w:eastAsia="ja-JP"/>
        </w:rPr>
      </w:pPr>
    </w:p>
    <w:p w14:paraId="56311B75" w14:textId="323477B8" w:rsidR="00E32950" w:rsidRDefault="00184A9B" w:rsidP="000A1967">
      <w:pPr>
        <w:rPr>
          <w:rFonts w:eastAsia="MS Mincho"/>
          <w:sz w:val="22"/>
          <w:szCs w:val="22"/>
          <w:lang w:eastAsia="ja-JP"/>
        </w:rPr>
      </w:pPr>
      <w:r>
        <w:rPr>
          <w:rFonts w:eastAsia="MS Mincho"/>
          <w:sz w:val="22"/>
          <w:szCs w:val="22"/>
          <w:lang w:eastAsia="ja-JP"/>
        </w:rPr>
        <w:t xml:space="preserve">We also provide the analysis of both DL and UL HARQ </w:t>
      </w:r>
      <w:r w:rsidR="005F686F">
        <w:rPr>
          <w:rFonts w:eastAsia="MS Mincho"/>
          <w:sz w:val="22"/>
          <w:szCs w:val="22"/>
          <w:lang w:eastAsia="ja-JP"/>
        </w:rPr>
        <w:t>operation</w:t>
      </w:r>
      <w:r>
        <w:rPr>
          <w:rFonts w:eastAsia="MS Mincho"/>
          <w:sz w:val="22"/>
          <w:szCs w:val="22"/>
          <w:lang w:eastAsia="ja-JP"/>
        </w:rPr>
        <w:t xml:space="preserve"> at LTE side in order to ensure that the solutions provided </w:t>
      </w:r>
      <w:r w:rsidR="00FC037F">
        <w:rPr>
          <w:rFonts w:eastAsia="MS Mincho"/>
          <w:sz w:val="22"/>
          <w:szCs w:val="22"/>
          <w:lang w:eastAsia="ja-JP"/>
        </w:rPr>
        <w:t>in this</w:t>
      </w:r>
      <w:r w:rsidR="003B6B18">
        <w:rPr>
          <w:rFonts w:eastAsia="MS Mincho"/>
          <w:sz w:val="22"/>
          <w:szCs w:val="22"/>
          <w:lang w:eastAsia="ja-JP"/>
        </w:rPr>
        <w:t xml:space="preserve"> c</w:t>
      </w:r>
      <w:r w:rsidR="00FC037F">
        <w:rPr>
          <w:rFonts w:eastAsia="MS Mincho"/>
          <w:sz w:val="22"/>
          <w:szCs w:val="22"/>
          <w:lang w:eastAsia="ja-JP"/>
        </w:rPr>
        <w:t xml:space="preserve">ontribution </w:t>
      </w:r>
      <w:r>
        <w:rPr>
          <w:rFonts w:eastAsia="MS Mincho"/>
          <w:sz w:val="22"/>
          <w:szCs w:val="22"/>
          <w:lang w:eastAsia="ja-JP"/>
        </w:rPr>
        <w:t xml:space="preserve">do not restrict the DL and UL HARQ operation. </w:t>
      </w:r>
      <w:r w:rsidR="003031F8">
        <w:rPr>
          <w:rFonts w:eastAsia="MS Mincho"/>
          <w:sz w:val="22"/>
          <w:szCs w:val="22"/>
          <w:lang w:eastAsia="ja-JP"/>
        </w:rPr>
        <w:t>We have the following observations</w:t>
      </w:r>
    </w:p>
    <w:p w14:paraId="2B40B6EF" w14:textId="77777777" w:rsidR="00EC2CE4" w:rsidRDefault="00EC2CE4" w:rsidP="00854A60">
      <w:pPr>
        <w:rPr>
          <w:sz w:val="20"/>
          <w:szCs w:val="20"/>
        </w:rPr>
      </w:pPr>
    </w:p>
    <w:p w14:paraId="25A18BF1" w14:textId="77777777" w:rsidR="00B1677C" w:rsidRDefault="00B1677C" w:rsidP="00B1677C">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1</w:t>
      </w:r>
      <w:r w:rsidRPr="00CD41CD">
        <w:rPr>
          <w:rFonts w:eastAsia="SimSun"/>
          <w:bCs/>
          <w:i/>
          <w:szCs w:val="22"/>
        </w:rPr>
        <w:t xml:space="preserve">: </w:t>
      </w:r>
      <w:r>
        <w:rPr>
          <w:rFonts w:eastAsia="SimSun"/>
          <w:b/>
          <w:i/>
          <w:sz w:val="22"/>
          <w:szCs w:val="22"/>
        </w:rPr>
        <w:t>To support Single Tx Switched UL for EN-DC in LTE TDD band, eIMTA frame work can be used to semi-statically allocate UL resources between LTE and NR in TDM manner</w:t>
      </w:r>
    </w:p>
    <w:p w14:paraId="4FE48377" w14:textId="77777777" w:rsidR="00184A9B" w:rsidRDefault="00184A9B" w:rsidP="00B1677C">
      <w:pPr>
        <w:rPr>
          <w:rFonts w:eastAsia="SimSun"/>
          <w:b/>
          <w:bCs/>
          <w:i/>
          <w:sz w:val="22"/>
          <w:szCs w:val="22"/>
          <w:u w:val="single"/>
        </w:rPr>
      </w:pPr>
    </w:p>
    <w:p w14:paraId="42CB859B" w14:textId="0C9439DC" w:rsidR="00B1677C" w:rsidRPr="00E53448" w:rsidRDefault="00B1677C" w:rsidP="00B1677C">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2</w:t>
      </w:r>
      <w:r w:rsidRPr="00CD41CD">
        <w:rPr>
          <w:rFonts w:eastAsia="SimSun"/>
          <w:bCs/>
          <w:i/>
          <w:szCs w:val="22"/>
        </w:rPr>
        <w:t xml:space="preserve">: </w:t>
      </w:r>
      <w:r>
        <w:rPr>
          <w:rFonts w:eastAsia="SimSun"/>
          <w:b/>
          <w:i/>
          <w:sz w:val="22"/>
          <w:szCs w:val="22"/>
        </w:rPr>
        <w:t>To support Single Tx Switched UL for EN-DC in LTE TDD band, GP and UpPTS in LTE special subframe can be semi-statically allocated for NR UL.</w:t>
      </w:r>
    </w:p>
    <w:p w14:paraId="2E75F001" w14:textId="77777777" w:rsidR="007E70BB" w:rsidRPr="007E70BB" w:rsidRDefault="005C63AE" w:rsidP="007E70BB">
      <w:pPr>
        <w:pStyle w:val="Heading1"/>
      </w:pPr>
      <w:r>
        <w:t>References</w:t>
      </w:r>
    </w:p>
    <w:p w14:paraId="1106DC37"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1"/>
    </w:p>
    <w:p w14:paraId="4F3ADA75"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2"/>
    </w:p>
    <w:p w14:paraId="1FDBA85A"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3"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End w:id="3"/>
    </w:p>
    <w:p w14:paraId="4818ED74" w14:textId="77777777" w:rsidR="00DD5FD0" w:rsidRPr="00DD5FD0" w:rsidRDefault="000F5184" w:rsidP="00DD5FD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DD5FD0">
        <w:rPr>
          <w:sz w:val="22"/>
          <w:szCs w:val="22"/>
        </w:rPr>
        <w:t>R4-1803062, “A-MPR for DC_41A_n41A”, RAN4#86, Athens, Greece, Feb. 26-March 2</w:t>
      </w:r>
      <w:r w:rsidR="006D5D20" w:rsidRPr="00DD5FD0">
        <w:rPr>
          <w:sz w:val="22"/>
          <w:szCs w:val="22"/>
        </w:rPr>
        <w:t>, 2018</w:t>
      </w:r>
    </w:p>
    <w:p w14:paraId="2E31F236" w14:textId="7F5A65D6" w:rsidR="00682E80" w:rsidRPr="00DD5FD0" w:rsidRDefault="00682E80" w:rsidP="00DD5FD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DD5FD0">
        <w:rPr>
          <w:sz w:val="22"/>
          <w:szCs w:val="22"/>
        </w:rPr>
        <w:t>R4-</w:t>
      </w:r>
      <w:r w:rsidR="00DD5FD0" w:rsidRPr="00DD5FD0">
        <w:rPr>
          <w:sz w:val="22"/>
          <w:szCs w:val="22"/>
        </w:rPr>
        <w:t>1805411</w:t>
      </w:r>
      <w:r w:rsidRPr="00DD5FD0">
        <w:rPr>
          <w:sz w:val="22"/>
          <w:szCs w:val="22"/>
        </w:rPr>
        <w:t>, “</w:t>
      </w:r>
      <w:r w:rsidR="00A32084" w:rsidRPr="00DD5FD0">
        <w:rPr>
          <w:sz w:val="22"/>
          <w:szCs w:val="22"/>
        </w:rPr>
        <w:t>The need of FR1 single-sw</w:t>
      </w:r>
      <w:r w:rsidR="002E48AE" w:rsidRPr="00DD5FD0">
        <w:rPr>
          <w:sz w:val="22"/>
          <w:szCs w:val="22"/>
        </w:rPr>
        <w:t>i</w:t>
      </w:r>
      <w:r w:rsidR="00A32084" w:rsidRPr="00DD5FD0">
        <w:rPr>
          <w:sz w:val="22"/>
          <w:szCs w:val="22"/>
        </w:rPr>
        <w:t>tched UL for EN-DC</w:t>
      </w:r>
      <w:r w:rsidRPr="00DD5FD0">
        <w:rPr>
          <w:sz w:val="22"/>
          <w:szCs w:val="22"/>
        </w:rPr>
        <w:t>”, RAN4#86</w:t>
      </w:r>
      <w:r w:rsidR="002E48AE" w:rsidRPr="00DD5FD0">
        <w:rPr>
          <w:sz w:val="22"/>
          <w:szCs w:val="22"/>
        </w:rPr>
        <w:t>bis</w:t>
      </w:r>
      <w:r w:rsidRPr="00DD5FD0">
        <w:rPr>
          <w:sz w:val="22"/>
          <w:szCs w:val="22"/>
        </w:rPr>
        <w:t xml:space="preserve">, </w:t>
      </w:r>
      <w:r w:rsidR="002E48AE" w:rsidRPr="00DD5FD0">
        <w:rPr>
          <w:sz w:val="22"/>
          <w:szCs w:val="22"/>
        </w:rPr>
        <w:t>Melbourne, Australia</w:t>
      </w:r>
      <w:r w:rsidRPr="00DD5FD0">
        <w:rPr>
          <w:sz w:val="22"/>
          <w:szCs w:val="22"/>
        </w:rPr>
        <w:t xml:space="preserve">, </w:t>
      </w:r>
      <w:r w:rsidR="00B44A91" w:rsidRPr="00DD5FD0">
        <w:rPr>
          <w:sz w:val="22"/>
          <w:szCs w:val="22"/>
        </w:rPr>
        <w:t>April 16-20</w:t>
      </w:r>
      <w:r w:rsidR="00F514C3" w:rsidRPr="00DD5FD0">
        <w:rPr>
          <w:sz w:val="22"/>
          <w:szCs w:val="22"/>
        </w:rPr>
        <w:t>, 2018</w:t>
      </w:r>
    </w:p>
    <w:p w14:paraId="5ED96EC6" w14:textId="77777777" w:rsidR="000F5184" w:rsidRDefault="000F5184" w:rsidP="000243B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11B2C">
        <w:rPr>
          <w:sz w:val="22"/>
          <w:szCs w:val="22"/>
        </w:rPr>
        <w:t>RP-172085</w:t>
      </w:r>
      <w:r>
        <w:rPr>
          <w:sz w:val="22"/>
          <w:szCs w:val="22"/>
        </w:rPr>
        <w:t>, “</w:t>
      </w:r>
      <w:r w:rsidRPr="00811B2C">
        <w:rPr>
          <w:sz w:val="22"/>
          <w:szCs w:val="22"/>
        </w:rPr>
        <w:t>Signalling for Single/Dual UL Tx</w:t>
      </w:r>
      <w:r>
        <w:rPr>
          <w:sz w:val="22"/>
          <w:szCs w:val="22"/>
        </w:rPr>
        <w:t xml:space="preserve">”, RAN#77, </w:t>
      </w:r>
      <w:r w:rsidRPr="00811B2C">
        <w:rPr>
          <w:sz w:val="22"/>
          <w:szCs w:val="22"/>
        </w:rPr>
        <w:t>Sapporo, Japan</w:t>
      </w:r>
      <w:r>
        <w:rPr>
          <w:sz w:val="22"/>
          <w:szCs w:val="22"/>
        </w:rPr>
        <w:t>, Sept 11-15, 2017</w:t>
      </w:r>
    </w:p>
    <w:p w14:paraId="4A697523" w14:textId="77777777" w:rsidR="000243BF" w:rsidRDefault="000F5184" w:rsidP="000243B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0243BF">
        <w:rPr>
          <w:sz w:val="22"/>
          <w:szCs w:val="22"/>
        </w:rPr>
        <w:t>Chairman Note, RAN1#90, Prague, Czech Rep, 9th – 13th October 2017</w:t>
      </w:r>
    </w:p>
    <w:p w14:paraId="6BC6C4C7" w14:textId="1AC8AA48" w:rsidR="000243BF" w:rsidRDefault="000F5184" w:rsidP="000243B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0243BF">
        <w:rPr>
          <w:sz w:val="22"/>
          <w:szCs w:val="22"/>
        </w:rPr>
        <w:t>Chairman</w:t>
      </w:r>
      <w:r w:rsidR="00025BF3" w:rsidRPr="000243BF">
        <w:rPr>
          <w:sz w:val="22"/>
          <w:szCs w:val="22"/>
        </w:rPr>
        <w:t xml:space="preserve"> Note</w:t>
      </w:r>
      <w:r w:rsidR="00025BF3">
        <w:rPr>
          <w:sz w:val="22"/>
          <w:szCs w:val="22"/>
        </w:rPr>
        <w:t>, RAN4#86bis</w:t>
      </w:r>
      <w:r w:rsidRPr="000243BF">
        <w:rPr>
          <w:sz w:val="22"/>
          <w:szCs w:val="22"/>
        </w:rPr>
        <w:t xml:space="preserve">, </w:t>
      </w:r>
      <w:r w:rsidR="000243BF" w:rsidRPr="000243BF">
        <w:rPr>
          <w:sz w:val="22"/>
          <w:szCs w:val="22"/>
        </w:rPr>
        <w:t>Melbourne, Australia</w:t>
      </w:r>
      <w:r w:rsidRPr="000243BF">
        <w:rPr>
          <w:sz w:val="22"/>
          <w:szCs w:val="22"/>
        </w:rPr>
        <w:t xml:space="preserve">, USA </w:t>
      </w:r>
      <w:r w:rsidR="008E2FF6">
        <w:rPr>
          <w:sz w:val="22"/>
          <w:szCs w:val="22"/>
        </w:rPr>
        <w:t xml:space="preserve">16 </w:t>
      </w:r>
      <w:r w:rsidR="000243BF" w:rsidRPr="000243BF">
        <w:rPr>
          <w:sz w:val="22"/>
          <w:szCs w:val="22"/>
        </w:rPr>
        <w:t>- 20 April, 2018</w:t>
      </w:r>
    </w:p>
    <w:p w14:paraId="75A99C60" w14:textId="48DE8261" w:rsidR="00613A70" w:rsidRPr="00613A70" w:rsidRDefault="00613A70" w:rsidP="0024421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w:t>
      </w:r>
      <w:r w:rsidR="00244216">
        <w:rPr>
          <w:sz w:val="22"/>
          <w:szCs w:val="22"/>
        </w:rPr>
        <w:t>,</w:t>
      </w:r>
      <w:r>
        <w:rPr>
          <w:sz w:val="22"/>
          <w:szCs w:val="22"/>
        </w:rPr>
        <w:t xml:space="preserve"> “</w:t>
      </w:r>
      <w:r w:rsidRPr="00613A70">
        <w:rPr>
          <w:sz w:val="22"/>
          <w:szCs w:val="22"/>
        </w:rPr>
        <w:t>3GPP TS 36.213 Evolved Universal Terrestrial Radio Access (E-UTRA)</w:t>
      </w:r>
      <w:r w:rsidR="00244216">
        <w:rPr>
          <w:sz w:val="22"/>
          <w:szCs w:val="22"/>
        </w:rPr>
        <w:t>”, V15.1.0 (2018-03)</w:t>
      </w:r>
    </w:p>
    <w:sectPr w:rsidR="00613A70" w:rsidRPr="00613A7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AC98D" w14:textId="77777777" w:rsidR="007609FA" w:rsidRDefault="007609FA">
      <w:r>
        <w:separator/>
      </w:r>
    </w:p>
  </w:endnote>
  <w:endnote w:type="continuationSeparator" w:id="0">
    <w:p w14:paraId="0D4E6F87" w14:textId="77777777" w:rsidR="007609FA" w:rsidRDefault="007609FA">
      <w:r>
        <w:continuationSeparator/>
      </w:r>
    </w:p>
  </w:endnote>
  <w:endnote w:type="continuationNotice" w:id="1">
    <w:p w14:paraId="03C58A92" w14:textId="77777777" w:rsidR="007609FA" w:rsidRDefault="00760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A3AF" w14:textId="77777777" w:rsidR="007609FA" w:rsidRDefault="007609FA">
      <w:r>
        <w:separator/>
      </w:r>
    </w:p>
  </w:footnote>
  <w:footnote w:type="continuationSeparator" w:id="0">
    <w:p w14:paraId="6A36902D" w14:textId="77777777" w:rsidR="007609FA" w:rsidRDefault="007609FA">
      <w:r>
        <w:continuationSeparator/>
      </w:r>
    </w:p>
  </w:footnote>
  <w:footnote w:type="continuationNotice" w:id="1">
    <w:p w14:paraId="7ABA9F23" w14:textId="77777777" w:rsidR="007609FA" w:rsidRDefault="007609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CE6A7D"/>
    <w:multiLevelType w:val="hybridMultilevel"/>
    <w:tmpl w:val="AB0C6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873C0"/>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6A3552"/>
    <w:multiLevelType w:val="hybridMultilevel"/>
    <w:tmpl w:val="7916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CF4160"/>
    <w:multiLevelType w:val="hybridMultilevel"/>
    <w:tmpl w:val="70526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34405F"/>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2"/>
  </w:num>
  <w:num w:numId="3">
    <w:abstractNumId w:val="14"/>
  </w:num>
  <w:num w:numId="4">
    <w:abstractNumId w:val="15"/>
  </w:num>
  <w:num w:numId="5">
    <w:abstractNumId w:val="9"/>
  </w:num>
  <w:num w:numId="6">
    <w:abstractNumId w:val="18"/>
  </w:num>
  <w:num w:numId="7">
    <w:abstractNumId w:val="26"/>
  </w:num>
  <w:num w:numId="8">
    <w:abstractNumId w:val="10"/>
  </w:num>
  <w:num w:numId="9">
    <w:abstractNumId w:val="23"/>
  </w:num>
  <w:num w:numId="10">
    <w:abstractNumId w:val="0"/>
  </w:num>
  <w:num w:numId="11">
    <w:abstractNumId w:val="20"/>
  </w:num>
  <w:num w:numId="12">
    <w:abstractNumId w:val="4"/>
  </w:num>
  <w:num w:numId="13">
    <w:abstractNumId w:val="11"/>
  </w:num>
  <w:num w:numId="14">
    <w:abstractNumId w:val="28"/>
  </w:num>
  <w:num w:numId="15">
    <w:abstractNumId w:val="21"/>
  </w:num>
  <w:num w:numId="16">
    <w:abstractNumId w:val="12"/>
  </w:num>
  <w:num w:numId="17">
    <w:abstractNumId w:val="2"/>
  </w:num>
  <w:num w:numId="18">
    <w:abstractNumId w:val="7"/>
  </w:num>
  <w:num w:numId="19">
    <w:abstractNumId w:val="3"/>
  </w:num>
  <w:num w:numId="20">
    <w:abstractNumId w:val="19"/>
  </w:num>
  <w:num w:numId="21">
    <w:abstractNumId w:val="17"/>
  </w:num>
  <w:num w:numId="22">
    <w:abstractNumId w:val="29"/>
  </w:num>
  <w:num w:numId="23">
    <w:abstractNumId w:val="27"/>
  </w:num>
  <w:num w:numId="24">
    <w:abstractNumId w:val="24"/>
  </w:num>
  <w:num w:numId="25">
    <w:abstractNumId w:val="25"/>
  </w:num>
  <w:num w:numId="26">
    <w:abstractNumId w:val="16"/>
  </w:num>
  <w:num w:numId="27">
    <w:abstractNumId w:val="13"/>
  </w:num>
  <w:num w:numId="28">
    <w:abstractNumId w:val="31"/>
  </w:num>
  <w:num w:numId="29">
    <w:abstractNumId w:val="8"/>
  </w:num>
  <w:num w:numId="30">
    <w:abstractNumId w:val="5"/>
  </w:num>
  <w:num w:numId="31">
    <w:abstractNumId w:val="6"/>
  </w:num>
  <w:num w:numId="32">
    <w:abstractNumId w:val="30"/>
  </w:num>
  <w:num w:numId="33">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514"/>
    <w:rsid w:val="000048A7"/>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3762"/>
    <w:rsid w:val="00014220"/>
    <w:rsid w:val="00014878"/>
    <w:rsid w:val="00014D88"/>
    <w:rsid w:val="000155D3"/>
    <w:rsid w:val="00015D15"/>
    <w:rsid w:val="000160B2"/>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F51"/>
    <w:rsid w:val="0003438B"/>
    <w:rsid w:val="000345BA"/>
    <w:rsid w:val="0003476B"/>
    <w:rsid w:val="00034C15"/>
    <w:rsid w:val="00036BA1"/>
    <w:rsid w:val="00037E0E"/>
    <w:rsid w:val="00037FBF"/>
    <w:rsid w:val="00041768"/>
    <w:rsid w:val="00042269"/>
    <w:rsid w:val="000422E2"/>
    <w:rsid w:val="00042593"/>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81F"/>
    <w:rsid w:val="000608BD"/>
    <w:rsid w:val="00060AC4"/>
    <w:rsid w:val="00061414"/>
    <w:rsid w:val="00061485"/>
    <w:rsid w:val="0006157B"/>
    <w:rsid w:val="000616E7"/>
    <w:rsid w:val="000622A6"/>
    <w:rsid w:val="000626CA"/>
    <w:rsid w:val="0006389C"/>
    <w:rsid w:val="0006487E"/>
    <w:rsid w:val="000650C1"/>
    <w:rsid w:val="00065E1A"/>
    <w:rsid w:val="000668B8"/>
    <w:rsid w:val="00067759"/>
    <w:rsid w:val="000707A2"/>
    <w:rsid w:val="000708A3"/>
    <w:rsid w:val="00071F96"/>
    <w:rsid w:val="0007330B"/>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6AE"/>
    <w:rsid w:val="000939E6"/>
    <w:rsid w:val="00093C1C"/>
    <w:rsid w:val="000946AD"/>
    <w:rsid w:val="0009510F"/>
    <w:rsid w:val="000954FB"/>
    <w:rsid w:val="00095575"/>
    <w:rsid w:val="0009557D"/>
    <w:rsid w:val="0009595C"/>
    <w:rsid w:val="000968C1"/>
    <w:rsid w:val="000972CE"/>
    <w:rsid w:val="000A04E1"/>
    <w:rsid w:val="000A0610"/>
    <w:rsid w:val="000A0C0B"/>
    <w:rsid w:val="000A121B"/>
    <w:rsid w:val="000A1676"/>
    <w:rsid w:val="000A18D4"/>
    <w:rsid w:val="000A1967"/>
    <w:rsid w:val="000A1B7B"/>
    <w:rsid w:val="000A1BCE"/>
    <w:rsid w:val="000A2785"/>
    <w:rsid w:val="000A3D91"/>
    <w:rsid w:val="000A4016"/>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423"/>
    <w:rsid w:val="000D6841"/>
    <w:rsid w:val="000D71F4"/>
    <w:rsid w:val="000D7BDE"/>
    <w:rsid w:val="000E0527"/>
    <w:rsid w:val="000E0855"/>
    <w:rsid w:val="000E0A04"/>
    <w:rsid w:val="000E113C"/>
    <w:rsid w:val="000E1875"/>
    <w:rsid w:val="000E1E92"/>
    <w:rsid w:val="000E3413"/>
    <w:rsid w:val="000E3A5F"/>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2225"/>
    <w:rsid w:val="00132312"/>
    <w:rsid w:val="00132A13"/>
    <w:rsid w:val="00132FD0"/>
    <w:rsid w:val="00133E1C"/>
    <w:rsid w:val="00133E57"/>
    <w:rsid w:val="0013408B"/>
    <w:rsid w:val="001344C0"/>
    <w:rsid w:val="001346FA"/>
    <w:rsid w:val="00135252"/>
    <w:rsid w:val="00135881"/>
    <w:rsid w:val="00135905"/>
    <w:rsid w:val="001363EF"/>
    <w:rsid w:val="0013673C"/>
    <w:rsid w:val="00136C56"/>
    <w:rsid w:val="00136C9E"/>
    <w:rsid w:val="00136CC2"/>
    <w:rsid w:val="00136F62"/>
    <w:rsid w:val="001372E4"/>
    <w:rsid w:val="00137AB5"/>
    <w:rsid w:val="00137F0B"/>
    <w:rsid w:val="001405B9"/>
    <w:rsid w:val="00140CDB"/>
    <w:rsid w:val="00140FC4"/>
    <w:rsid w:val="00143656"/>
    <w:rsid w:val="00143DDE"/>
    <w:rsid w:val="00144892"/>
    <w:rsid w:val="00144A81"/>
    <w:rsid w:val="001469D4"/>
    <w:rsid w:val="001501DB"/>
    <w:rsid w:val="00150AB6"/>
    <w:rsid w:val="00150F90"/>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487F"/>
    <w:rsid w:val="00194B49"/>
    <w:rsid w:val="00194F24"/>
    <w:rsid w:val="001958BF"/>
    <w:rsid w:val="0019604B"/>
    <w:rsid w:val="00196A3C"/>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3DE"/>
    <w:rsid w:val="001D5635"/>
    <w:rsid w:val="001D56A3"/>
    <w:rsid w:val="001D6342"/>
    <w:rsid w:val="001D6C6F"/>
    <w:rsid w:val="001D6D53"/>
    <w:rsid w:val="001D6F08"/>
    <w:rsid w:val="001D776C"/>
    <w:rsid w:val="001E01F8"/>
    <w:rsid w:val="001E0DF6"/>
    <w:rsid w:val="001E0F8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AA7"/>
    <w:rsid w:val="002126E8"/>
    <w:rsid w:val="00213283"/>
    <w:rsid w:val="00213867"/>
    <w:rsid w:val="00213E1E"/>
    <w:rsid w:val="00214DA8"/>
    <w:rsid w:val="00215423"/>
    <w:rsid w:val="002158FA"/>
    <w:rsid w:val="00215A53"/>
    <w:rsid w:val="00215D1D"/>
    <w:rsid w:val="00215EFE"/>
    <w:rsid w:val="00217079"/>
    <w:rsid w:val="0021735F"/>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FA1"/>
    <w:rsid w:val="002849E5"/>
    <w:rsid w:val="00284D9D"/>
    <w:rsid w:val="00285265"/>
    <w:rsid w:val="002854D5"/>
    <w:rsid w:val="00286ACD"/>
    <w:rsid w:val="00286D5A"/>
    <w:rsid w:val="00287838"/>
    <w:rsid w:val="00290332"/>
    <w:rsid w:val="002907B5"/>
    <w:rsid w:val="00290B08"/>
    <w:rsid w:val="00291663"/>
    <w:rsid w:val="00291846"/>
    <w:rsid w:val="00291A99"/>
    <w:rsid w:val="00291B4C"/>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38"/>
    <w:rsid w:val="002E17F2"/>
    <w:rsid w:val="002E2740"/>
    <w:rsid w:val="002E28C1"/>
    <w:rsid w:val="002E2FD7"/>
    <w:rsid w:val="002E48AE"/>
    <w:rsid w:val="002E49A8"/>
    <w:rsid w:val="002E50C6"/>
    <w:rsid w:val="002E5207"/>
    <w:rsid w:val="002E57B7"/>
    <w:rsid w:val="002E6068"/>
    <w:rsid w:val="002E63F4"/>
    <w:rsid w:val="002E6EA1"/>
    <w:rsid w:val="002E7691"/>
    <w:rsid w:val="002E791C"/>
    <w:rsid w:val="002E7CAE"/>
    <w:rsid w:val="002F2771"/>
    <w:rsid w:val="002F37A9"/>
    <w:rsid w:val="002F455D"/>
    <w:rsid w:val="002F4597"/>
    <w:rsid w:val="002F459D"/>
    <w:rsid w:val="002F4940"/>
    <w:rsid w:val="002F4EEB"/>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EEF"/>
    <w:rsid w:val="003203ED"/>
    <w:rsid w:val="003208B0"/>
    <w:rsid w:val="00320E22"/>
    <w:rsid w:val="003212DB"/>
    <w:rsid w:val="00322154"/>
    <w:rsid w:val="003222AB"/>
    <w:rsid w:val="00322C9F"/>
    <w:rsid w:val="00323ACB"/>
    <w:rsid w:val="00323EED"/>
    <w:rsid w:val="00324402"/>
    <w:rsid w:val="003249E4"/>
    <w:rsid w:val="00324D23"/>
    <w:rsid w:val="0032515B"/>
    <w:rsid w:val="003251B5"/>
    <w:rsid w:val="00326732"/>
    <w:rsid w:val="00326A64"/>
    <w:rsid w:val="003278AB"/>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688E"/>
    <w:rsid w:val="003670C4"/>
    <w:rsid w:val="00370E47"/>
    <w:rsid w:val="00372570"/>
    <w:rsid w:val="0037322F"/>
    <w:rsid w:val="0037323B"/>
    <w:rsid w:val="00374042"/>
    <w:rsid w:val="003742AC"/>
    <w:rsid w:val="00376A1A"/>
    <w:rsid w:val="00376B9D"/>
    <w:rsid w:val="00377CE1"/>
    <w:rsid w:val="003807F1"/>
    <w:rsid w:val="003815BB"/>
    <w:rsid w:val="00382541"/>
    <w:rsid w:val="00383C13"/>
    <w:rsid w:val="00384372"/>
    <w:rsid w:val="00384F45"/>
    <w:rsid w:val="0038531D"/>
    <w:rsid w:val="00385BF0"/>
    <w:rsid w:val="003865FE"/>
    <w:rsid w:val="00386C8D"/>
    <w:rsid w:val="003874BE"/>
    <w:rsid w:val="003879D8"/>
    <w:rsid w:val="00387E49"/>
    <w:rsid w:val="00390359"/>
    <w:rsid w:val="003915EB"/>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6A6"/>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BE1"/>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109F"/>
    <w:rsid w:val="003D2478"/>
    <w:rsid w:val="003D2DDC"/>
    <w:rsid w:val="003D2FC4"/>
    <w:rsid w:val="003D3279"/>
    <w:rsid w:val="003D33CE"/>
    <w:rsid w:val="003D3866"/>
    <w:rsid w:val="003D3C45"/>
    <w:rsid w:val="003D40F8"/>
    <w:rsid w:val="003D47C1"/>
    <w:rsid w:val="003D4ECB"/>
    <w:rsid w:val="003D5B1F"/>
    <w:rsid w:val="003D761D"/>
    <w:rsid w:val="003D7625"/>
    <w:rsid w:val="003D7A25"/>
    <w:rsid w:val="003D7DE0"/>
    <w:rsid w:val="003E04AC"/>
    <w:rsid w:val="003E05BD"/>
    <w:rsid w:val="003E072B"/>
    <w:rsid w:val="003E0D27"/>
    <w:rsid w:val="003E0F30"/>
    <w:rsid w:val="003E1382"/>
    <w:rsid w:val="003E1481"/>
    <w:rsid w:val="003E15FA"/>
    <w:rsid w:val="003E181F"/>
    <w:rsid w:val="003E1D4C"/>
    <w:rsid w:val="003E2653"/>
    <w:rsid w:val="003E33C2"/>
    <w:rsid w:val="003E3A14"/>
    <w:rsid w:val="003E3C4D"/>
    <w:rsid w:val="003E434B"/>
    <w:rsid w:val="003E55E4"/>
    <w:rsid w:val="003E5D31"/>
    <w:rsid w:val="003E6208"/>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E2B"/>
    <w:rsid w:val="004030A7"/>
    <w:rsid w:val="00403926"/>
    <w:rsid w:val="00403DBB"/>
    <w:rsid w:val="004045F0"/>
    <w:rsid w:val="00404B4B"/>
    <w:rsid w:val="0040512B"/>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1105"/>
    <w:rsid w:val="00421595"/>
    <w:rsid w:val="004227AB"/>
    <w:rsid w:val="00422979"/>
    <w:rsid w:val="00422E82"/>
    <w:rsid w:val="00422F98"/>
    <w:rsid w:val="00424028"/>
    <w:rsid w:val="004242F4"/>
    <w:rsid w:val="00424C2D"/>
    <w:rsid w:val="0042524E"/>
    <w:rsid w:val="00425743"/>
    <w:rsid w:val="00425750"/>
    <w:rsid w:val="00426762"/>
    <w:rsid w:val="00427248"/>
    <w:rsid w:val="004272E5"/>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B74"/>
    <w:rsid w:val="00450DD4"/>
    <w:rsid w:val="004517AA"/>
    <w:rsid w:val="00451C61"/>
    <w:rsid w:val="00452CAC"/>
    <w:rsid w:val="00453155"/>
    <w:rsid w:val="004539C6"/>
    <w:rsid w:val="00453C0A"/>
    <w:rsid w:val="004541F9"/>
    <w:rsid w:val="00454DB3"/>
    <w:rsid w:val="0045578A"/>
    <w:rsid w:val="004561E0"/>
    <w:rsid w:val="00456FC4"/>
    <w:rsid w:val="00457565"/>
    <w:rsid w:val="00457B71"/>
    <w:rsid w:val="00457CD9"/>
    <w:rsid w:val="00460601"/>
    <w:rsid w:val="00460721"/>
    <w:rsid w:val="00460746"/>
    <w:rsid w:val="004614A2"/>
    <w:rsid w:val="004619F9"/>
    <w:rsid w:val="00461EBB"/>
    <w:rsid w:val="004621E8"/>
    <w:rsid w:val="00462C81"/>
    <w:rsid w:val="00462FA5"/>
    <w:rsid w:val="0046430E"/>
    <w:rsid w:val="00464E0F"/>
    <w:rsid w:val="00465F3A"/>
    <w:rsid w:val="0046694A"/>
    <w:rsid w:val="004669E2"/>
    <w:rsid w:val="00466EBC"/>
    <w:rsid w:val="00467930"/>
    <w:rsid w:val="00470C31"/>
    <w:rsid w:val="00470C4F"/>
    <w:rsid w:val="004719C3"/>
    <w:rsid w:val="00472D9C"/>
    <w:rsid w:val="004734D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D60"/>
    <w:rsid w:val="004C1682"/>
    <w:rsid w:val="004C1ABA"/>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D3"/>
    <w:rsid w:val="004D3045"/>
    <w:rsid w:val="004D36B1"/>
    <w:rsid w:val="004D3D8D"/>
    <w:rsid w:val="004D4FB4"/>
    <w:rsid w:val="004D57E5"/>
    <w:rsid w:val="004D7B79"/>
    <w:rsid w:val="004D7EBD"/>
    <w:rsid w:val="004E0434"/>
    <w:rsid w:val="004E08E1"/>
    <w:rsid w:val="004E0903"/>
    <w:rsid w:val="004E0ABB"/>
    <w:rsid w:val="004E162A"/>
    <w:rsid w:val="004E25F2"/>
    <w:rsid w:val="004E2680"/>
    <w:rsid w:val="004E28F9"/>
    <w:rsid w:val="004E2F82"/>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EBB"/>
    <w:rsid w:val="00522248"/>
    <w:rsid w:val="00524AC7"/>
    <w:rsid w:val="00525315"/>
    <w:rsid w:val="00525439"/>
    <w:rsid w:val="00526167"/>
    <w:rsid w:val="0052616B"/>
    <w:rsid w:val="00526186"/>
    <w:rsid w:val="00526998"/>
    <w:rsid w:val="00526B0A"/>
    <w:rsid w:val="00527463"/>
    <w:rsid w:val="005314A7"/>
    <w:rsid w:val="005317B9"/>
    <w:rsid w:val="005321B3"/>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8FC"/>
    <w:rsid w:val="00542206"/>
    <w:rsid w:val="0054238A"/>
    <w:rsid w:val="00542897"/>
    <w:rsid w:val="0054302C"/>
    <w:rsid w:val="0054355D"/>
    <w:rsid w:val="00543AF9"/>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3C22"/>
    <w:rsid w:val="00583C62"/>
    <w:rsid w:val="00584529"/>
    <w:rsid w:val="00584668"/>
    <w:rsid w:val="00585462"/>
    <w:rsid w:val="00586FEE"/>
    <w:rsid w:val="0058798C"/>
    <w:rsid w:val="005900FA"/>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A"/>
    <w:rsid w:val="005D0A7C"/>
    <w:rsid w:val="005D0E89"/>
    <w:rsid w:val="005D1602"/>
    <w:rsid w:val="005D1627"/>
    <w:rsid w:val="005D2963"/>
    <w:rsid w:val="005D304C"/>
    <w:rsid w:val="005D382E"/>
    <w:rsid w:val="005D3A41"/>
    <w:rsid w:val="005D439C"/>
    <w:rsid w:val="005D472A"/>
    <w:rsid w:val="005D4766"/>
    <w:rsid w:val="005D528E"/>
    <w:rsid w:val="005D542C"/>
    <w:rsid w:val="005D5D93"/>
    <w:rsid w:val="005D610B"/>
    <w:rsid w:val="005D72CB"/>
    <w:rsid w:val="005D7561"/>
    <w:rsid w:val="005D76E4"/>
    <w:rsid w:val="005D775D"/>
    <w:rsid w:val="005E07ED"/>
    <w:rsid w:val="005E1C98"/>
    <w:rsid w:val="005E2259"/>
    <w:rsid w:val="005E385F"/>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524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BDB"/>
    <w:rsid w:val="00622FBF"/>
    <w:rsid w:val="006234A6"/>
    <w:rsid w:val="006238C6"/>
    <w:rsid w:val="00623E78"/>
    <w:rsid w:val="00624246"/>
    <w:rsid w:val="0062428A"/>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609B"/>
    <w:rsid w:val="00656A92"/>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7AFF"/>
    <w:rsid w:val="006B06EB"/>
    <w:rsid w:val="006B07F1"/>
    <w:rsid w:val="006B1816"/>
    <w:rsid w:val="006B1BE0"/>
    <w:rsid w:val="006B1E42"/>
    <w:rsid w:val="006B2099"/>
    <w:rsid w:val="006B235E"/>
    <w:rsid w:val="006B2533"/>
    <w:rsid w:val="006B27AB"/>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898"/>
    <w:rsid w:val="006E7D3B"/>
    <w:rsid w:val="006F01B6"/>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EDB"/>
    <w:rsid w:val="0070537F"/>
    <w:rsid w:val="007057B5"/>
    <w:rsid w:val="00705A56"/>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7266"/>
    <w:rsid w:val="0077013A"/>
    <w:rsid w:val="00770154"/>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49C8"/>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B4A"/>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EBA"/>
    <w:rsid w:val="0089119A"/>
    <w:rsid w:val="00892215"/>
    <w:rsid w:val="00892722"/>
    <w:rsid w:val="00892DD2"/>
    <w:rsid w:val="00893BB0"/>
    <w:rsid w:val="00893E09"/>
    <w:rsid w:val="00893EF3"/>
    <w:rsid w:val="00894419"/>
    <w:rsid w:val="00894594"/>
    <w:rsid w:val="0089460D"/>
    <w:rsid w:val="00894A88"/>
    <w:rsid w:val="00894D6D"/>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155"/>
    <w:rsid w:val="008B7B5C"/>
    <w:rsid w:val="008B7D6F"/>
    <w:rsid w:val="008C019F"/>
    <w:rsid w:val="008C0613"/>
    <w:rsid w:val="008C0C99"/>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5FD1"/>
    <w:rsid w:val="008E6605"/>
    <w:rsid w:val="008F10E9"/>
    <w:rsid w:val="008F1A19"/>
    <w:rsid w:val="008F1C35"/>
    <w:rsid w:val="008F1CF9"/>
    <w:rsid w:val="008F1D4D"/>
    <w:rsid w:val="008F1EAB"/>
    <w:rsid w:val="008F203D"/>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636"/>
    <w:rsid w:val="00941B38"/>
    <w:rsid w:val="009424D7"/>
    <w:rsid w:val="00943742"/>
    <w:rsid w:val="00943820"/>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6AD"/>
    <w:rsid w:val="00970E55"/>
    <w:rsid w:val="0097130C"/>
    <w:rsid w:val="00971F08"/>
    <w:rsid w:val="00974723"/>
    <w:rsid w:val="00974CFE"/>
    <w:rsid w:val="00974F23"/>
    <w:rsid w:val="009759C5"/>
    <w:rsid w:val="0097602E"/>
    <w:rsid w:val="0097603D"/>
    <w:rsid w:val="009764B4"/>
    <w:rsid w:val="00976949"/>
    <w:rsid w:val="00976A48"/>
    <w:rsid w:val="00976C4B"/>
    <w:rsid w:val="00976F19"/>
    <w:rsid w:val="00977763"/>
    <w:rsid w:val="00980477"/>
    <w:rsid w:val="0098075D"/>
    <w:rsid w:val="00981B5D"/>
    <w:rsid w:val="009820FD"/>
    <w:rsid w:val="00982E8E"/>
    <w:rsid w:val="009834A9"/>
    <w:rsid w:val="00983B4E"/>
    <w:rsid w:val="0098420B"/>
    <w:rsid w:val="00984B75"/>
    <w:rsid w:val="00984D3E"/>
    <w:rsid w:val="009851A6"/>
    <w:rsid w:val="00985253"/>
    <w:rsid w:val="009853B3"/>
    <w:rsid w:val="00986322"/>
    <w:rsid w:val="00986F9F"/>
    <w:rsid w:val="009872A9"/>
    <w:rsid w:val="0098796A"/>
    <w:rsid w:val="00987D72"/>
    <w:rsid w:val="009902EF"/>
    <w:rsid w:val="009904BB"/>
    <w:rsid w:val="00990630"/>
    <w:rsid w:val="00991007"/>
    <w:rsid w:val="00991605"/>
    <w:rsid w:val="00991761"/>
    <w:rsid w:val="00991870"/>
    <w:rsid w:val="00991BE8"/>
    <w:rsid w:val="009924E3"/>
    <w:rsid w:val="00992516"/>
    <w:rsid w:val="0099299D"/>
    <w:rsid w:val="009929BE"/>
    <w:rsid w:val="00993049"/>
    <w:rsid w:val="009931A8"/>
    <w:rsid w:val="0099487F"/>
    <w:rsid w:val="00994DCA"/>
    <w:rsid w:val="00995DBD"/>
    <w:rsid w:val="009960EC"/>
    <w:rsid w:val="00996B44"/>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E1"/>
    <w:rsid w:val="00A65E06"/>
    <w:rsid w:val="00A660AC"/>
    <w:rsid w:val="00A6687C"/>
    <w:rsid w:val="00A6760C"/>
    <w:rsid w:val="00A67E6C"/>
    <w:rsid w:val="00A67FB1"/>
    <w:rsid w:val="00A7194D"/>
    <w:rsid w:val="00A71B99"/>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6B7"/>
    <w:rsid w:val="00A956F8"/>
    <w:rsid w:val="00A95963"/>
    <w:rsid w:val="00A95CD7"/>
    <w:rsid w:val="00A97C97"/>
    <w:rsid w:val="00A97F16"/>
    <w:rsid w:val="00AA016F"/>
    <w:rsid w:val="00AA0F66"/>
    <w:rsid w:val="00AA0FCD"/>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C93"/>
    <w:rsid w:val="00AC0FF8"/>
    <w:rsid w:val="00AC1C05"/>
    <w:rsid w:val="00AC2A81"/>
    <w:rsid w:val="00AC2ECD"/>
    <w:rsid w:val="00AC3119"/>
    <w:rsid w:val="00AC372C"/>
    <w:rsid w:val="00AC3D10"/>
    <w:rsid w:val="00AC4143"/>
    <w:rsid w:val="00AC49FB"/>
    <w:rsid w:val="00AC4BBF"/>
    <w:rsid w:val="00AC550F"/>
    <w:rsid w:val="00AC5A10"/>
    <w:rsid w:val="00AC675A"/>
    <w:rsid w:val="00AC681E"/>
    <w:rsid w:val="00AC6CC7"/>
    <w:rsid w:val="00AC733C"/>
    <w:rsid w:val="00AC7B22"/>
    <w:rsid w:val="00AD00BB"/>
    <w:rsid w:val="00AD0AA3"/>
    <w:rsid w:val="00AD122E"/>
    <w:rsid w:val="00AD20C4"/>
    <w:rsid w:val="00AD236B"/>
    <w:rsid w:val="00AD2C54"/>
    <w:rsid w:val="00AD30AA"/>
    <w:rsid w:val="00AD3246"/>
    <w:rsid w:val="00AD3F94"/>
    <w:rsid w:val="00AD4A5A"/>
    <w:rsid w:val="00AD51ED"/>
    <w:rsid w:val="00AD58C1"/>
    <w:rsid w:val="00AD59E2"/>
    <w:rsid w:val="00AD5F22"/>
    <w:rsid w:val="00AD62BC"/>
    <w:rsid w:val="00AD6629"/>
    <w:rsid w:val="00AD7C52"/>
    <w:rsid w:val="00AE0470"/>
    <w:rsid w:val="00AE07E6"/>
    <w:rsid w:val="00AE098D"/>
    <w:rsid w:val="00AE0B14"/>
    <w:rsid w:val="00AE0C21"/>
    <w:rsid w:val="00AE23EE"/>
    <w:rsid w:val="00AE2540"/>
    <w:rsid w:val="00AE27AC"/>
    <w:rsid w:val="00AE33F2"/>
    <w:rsid w:val="00AE3981"/>
    <w:rsid w:val="00AE3CC3"/>
    <w:rsid w:val="00AE3E93"/>
    <w:rsid w:val="00AE40E0"/>
    <w:rsid w:val="00AE4D2F"/>
    <w:rsid w:val="00AE4DBA"/>
    <w:rsid w:val="00AE4F07"/>
    <w:rsid w:val="00AE743A"/>
    <w:rsid w:val="00AF08CA"/>
    <w:rsid w:val="00AF1C5D"/>
    <w:rsid w:val="00AF1CCC"/>
    <w:rsid w:val="00AF25D5"/>
    <w:rsid w:val="00AF2DE7"/>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66E"/>
    <w:rsid w:val="00B64259"/>
    <w:rsid w:val="00B6553E"/>
    <w:rsid w:val="00B658B9"/>
    <w:rsid w:val="00B659E4"/>
    <w:rsid w:val="00B66345"/>
    <w:rsid w:val="00B664C7"/>
    <w:rsid w:val="00B669B8"/>
    <w:rsid w:val="00B70733"/>
    <w:rsid w:val="00B716B4"/>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708"/>
    <w:rsid w:val="00B855E5"/>
    <w:rsid w:val="00B856F3"/>
    <w:rsid w:val="00B85AAC"/>
    <w:rsid w:val="00B85DE5"/>
    <w:rsid w:val="00B8681D"/>
    <w:rsid w:val="00B86B54"/>
    <w:rsid w:val="00B86D1E"/>
    <w:rsid w:val="00B870F5"/>
    <w:rsid w:val="00B90031"/>
    <w:rsid w:val="00B906C8"/>
    <w:rsid w:val="00B90739"/>
    <w:rsid w:val="00B90F73"/>
    <w:rsid w:val="00B91DE3"/>
    <w:rsid w:val="00B923B3"/>
    <w:rsid w:val="00B92526"/>
    <w:rsid w:val="00B92C63"/>
    <w:rsid w:val="00B92DAF"/>
    <w:rsid w:val="00B92EDB"/>
    <w:rsid w:val="00B92F19"/>
    <w:rsid w:val="00B93427"/>
    <w:rsid w:val="00B93B55"/>
    <w:rsid w:val="00B93B59"/>
    <w:rsid w:val="00B9406A"/>
    <w:rsid w:val="00B94E68"/>
    <w:rsid w:val="00B951DC"/>
    <w:rsid w:val="00B9530B"/>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F30"/>
    <w:rsid w:val="00BC24C0"/>
    <w:rsid w:val="00BC25AA"/>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A8B"/>
    <w:rsid w:val="00BD7F16"/>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0D14"/>
    <w:rsid w:val="00C214EA"/>
    <w:rsid w:val="00C22345"/>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5447"/>
    <w:rsid w:val="00C35564"/>
    <w:rsid w:val="00C35AA0"/>
    <w:rsid w:val="00C35CCF"/>
    <w:rsid w:val="00C3719D"/>
    <w:rsid w:val="00C3756F"/>
    <w:rsid w:val="00C377C8"/>
    <w:rsid w:val="00C37E19"/>
    <w:rsid w:val="00C40315"/>
    <w:rsid w:val="00C4076A"/>
    <w:rsid w:val="00C410AA"/>
    <w:rsid w:val="00C41251"/>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4995"/>
    <w:rsid w:val="00C54D41"/>
    <w:rsid w:val="00C5517F"/>
    <w:rsid w:val="00C5572E"/>
    <w:rsid w:val="00C55CFC"/>
    <w:rsid w:val="00C57D72"/>
    <w:rsid w:val="00C57EF3"/>
    <w:rsid w:val="00C60298"/>
    <w:rsid w:val="00C603E2"/>
    <w:rsid w:val="00C60783"/>
    <w:rsid w:val="00C609B6"/>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7803"/>
    <w:rsid w:val="00C7057C"/>
    <w:rsid w:val="00C70697"/>
    <w:rsid w:val="00C72EF4"/>
    <w:rsid w:val="00C73332"/>
    <w:rsid w:val="00C73931"/>
    <w:rsid w:val="00C752B6"/>
    <w:rsid w:val="00C75D2F"/>
    <w:rsid w:val="00C767BE"/>
    <w:rsid w:val="00C76963"/>
    <w:rsid w:val="00C76E3C"/>
    <w:rsid w:val="00C76F2F"/>
    <w:rsid w:val="00C770F2"/>
    <w:rsid w:val="00C77209"/>
    <w:rsid w:val="00C77A34"/>
    <w:rsid w:val="00C8128A"/>
    <w:rsid w:val="00C81568"/>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36B3"/>
    <w:rsid w:val="00CC3B48"/>
    <w:rsid w:val="00CC3EA0"/>
    <w:rsid w:val="00CC4046"/>
    <w:rsid w:val="00CC4265"/>
    <w:rsid w:val="00CC44C8"/>
    <w:rsid w:val="00CC4C07"/>
    <w:rsid w:val="00CC745E"/>
    <w:rsid w:val="00CC7B45"/>
    <w:rsid w:val="00CD0521"/>
    <w:rsid w:val="00CD0676"/>
    <w:rsid w:val="00CD0D2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E0424"/>
    <w:rsid w:val="00CE182B"/>
    <w:rsid w:val="00CE24E1"/>
    <w:rsid w:val="00CE2651"/>
    <w:rsid w:val="00CE2852"/>
    <w:rsid w:val="00CE2883"/>
    <w:rsid w:val="00CE2A8A"/>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AD"/>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B1D"/>
    <w:rsid w:val="00D8021F"/>
    <w:rsid w:val="00D80383"/>
    <w:rsid w:val="00D80ADB"/>
    <w:rsid w:val="00D80B3E"/>
    <w:rsid w:val="00D81DFE"/>
    <w:rsid w:val="00D81F78"/>
    <w:rsid w:val="00D823C6"/>
    <w:rsid w:val="00D82883"/>
    <w:rsid w:val="00D82E25"/>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982"/>
    <w:rsid w:val="00D92D22"/>
    <w:rsid w:val="00D92D71"/>
    <w:rsid w:val="00D93024"/>
    <w:rsid w:val="00D93AE1"/>
    <w:rsid w:val="00D9464E"/>
    <w:rsid w:val="00D94B1F"/>
    <w:rsid w:val="00D955BF"/>
    <w:rsid w:val="00D95766"/>
    <w:rsid w:val="00D959CC"/>
    <w:rsid w:val="00D9693C"/>
    <w:rsid w:val="00D96AF5"/>
    <w:rsid w:val="00D971D9"/>
    <w:rsid w:val="00D97336"/>
    <w:rsid w:val="00DA0106"/>
    <w:rsid w:val="00DA0471"/>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DCF"/>
    <w:rsid w:val="00DE06D0"/>
    <w:rsid w:val="00DE127F"/>
    <w:rsid w:val="00DE16A2"/>
    <w:rsid w:val="00DE1825"/>
    <w:rsid w:val="00DE1ADF"/>
    <w:rsid w:val="00DE3171"/>
    <w:rsid w:val="00DE320C"/>
    <w:rsid w:val="00DE356B"/>
    <w:rsid w:val="00DE36FF"/>
    <w:rsid w:val="00DE4C2B"/>
    <w:rsid w:val="00DE4D1B"/>
    <w:rsid w:val="00DE4FDC"/>
    <w:rsid w:val="00DE5608"/>
    <w:rsid w:val="00DE58D0"/>
    <w:rsid w:val="00DE654F"/>
    <w:rsid w:val="00DE7C1F"/>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7559"/>
    <w:rsid w:val="00E006FD"/>
    <w:rsid w:val="00E00D7C"/>
    <w:rsid w:val="00E012C0"/>
    <w:rsid w:val="00E017F6"/>
    <w:rsid w:val="00E02498"/>
    <w:rsid w:val="00E02957"/>
    <w:rsid w:val="00E02A05"/>
    <w:rsid w:val="00E02D54"/>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331"/>
    <w:rsid w:val="00E1259A"/>
    <w:rsid w:val="00E128F0"/>
    <w:rsid w:val="00E129D7"/>
    <w:rsid w:val="00E12A4B"/>
    <w:rsid w:val="00E12F74"/>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D23"/>
    <w:rsid w:val="00E77E85"/>
    <w:rsid w:val="00E77EFF"/>
    <w:rsid w:val="00E77FAB"/>
    <w:rsid w:val="00E800C3"/>
    <w:rsid w:val="00E82310"/>
    <w:rsid w:val="00E8234C"/>
    <w:rsid w:val="00E82420"/>
    <w:rsid w:val="00E82FEE"/>
    <w:rsid w:val="00E831A8"/>
    <w:rsid w:val="00E83AA9"/>
    <w:rsid w:val="00E84B69"/>
    <w:rsid w:val="00E84D30"/>
    <w:rsid w:val="00E85241"/>
    <w:rsid w:val="00E85928"/>
    <w:rsid w:val="00E85D48"/>
    <w:rsid w:val="00E85DDF"/>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A41"/>
    <w:rsid w:val="00EB046F"/>
    <w:rsid w:val="00EB077B"/>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C02"/>
    <w:rsid w:val="00EC2CE4"/>
    <w:rsid w:val="00EC2FCF"/>
    <w:rsid w:val="00EC4207"/>
    <w:rsid w:val="00EC54E3"/>
    <w:rsid w:val="00EC5653"/>
    <w:rsid w:val="00EC5A31"/>
    <w:rsid w:val="00EC5F6E"/>
    <w:rsid w:val="00EC60B5"/>
    <w:rsid w:val="00EC6E4D"/>
    <w:rsid w:val="00EC71CE"/>
    <w:rsid w:val="00EC74EA"/>
    <w:rsid w:val="00ED0158"/>
    <w:rsid w:val="00ED1006"/>
    <w:rsid w:val="00ED15FF"/>
    <w:rsid w:val="00ED1AEB"/>
    <w:rsid w:val="00ED1BE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9AC"/>
    <w:rsid w:val="00EF7F5C"/>
    <w:rsid w:val="00F000C5"/>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B0"/>
    <w:rsid w:val="00F11CE7"/>
    <w:rsid w:val="00F12470"/>
    <w:rsid w:val="00F12DE8"/>
    <w:rsid w:val="00F12E84"/>
    <w:rsid w:val="00F135A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F90"/>
    <w:rsid w:val="00FC3CA0"/>
    <w:rsid w:val="00FC4AD0"/>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C6C"/>
    <w:rsid w:val="00FE4C7B"/>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B68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C534D-45FB-584A-962D-A6664996E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427</TotalTime>
  <Pages>7</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618</cp:revision>
  <cp:lastPrinted>2008-01-31T16:09:00Z</cp:lastPrinted>
  <dcterms:created xsi:type="dcterms:W3CDTF">2017-09-28T15:58:00Z</dcterms:created>
  <dcterms:modified xsi:type="dcterms:W3CDTF">2018-05-10T21:00:00Z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